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7CB3" w:rsidRPr="00915031" w:rsidRDefault="00E77CB3" w:rsidP="00915031">
      <w:pPr>
        <w:jc w:val="center"/>
        <w:rPr>
          <w:lang w:val="fr-FR"/>
        </w:rPr>
      </w:pPr>
      <w:bookmarkStart w:id="0" w:name="_GoBack"/>
      <w:bookmarkEnd w:id="0"/>
    </w:p>
    <w:p w:rsidR="00A42DD5" w:rsidRPr="00915031" w:rsidRDefault="00A42DD5" w:rsidP="00915031">
      <w:pPr>
        <w:jc w:val="center"/>
        <w:rPr>
          <w:lang w:val="fr-FR"/>
        </w:rPr>
      </w:pPr>
    </w:p>
    <w:p w:rsidR="00A42DD5" w:rsidRPr="00915031" w:rsidRDefault="00A42DD5" w:rsidP="00915031">
      <w:pPr>
        <w:jc w:val="center"/>
        <w:rPr>
          <w:lang w:val="fr-FR"/>
        </w:rPr>
      </w:pPr>
    </w:p>
    <w:p w:rsidR="00E77CB3" w:rsidRPr="00915031" w:rsidRDefault="00457B85" w:rsidP="00915031">
      <w:pPr>
        <w:jc w:val="center"/>
        <w:rPr>
          <w:lang w:val="fr-FR"/>
        </w:rPr>
      </w:pPr>
      <w:r w:rsidRPr="00915031">
        <w:rPr>
          <w:lang w:val="fr-FR"/>
        </w:rPr>
        <w:t>PREMIÈRE SECTION</w:t>
      </w:r>
    </w:p>
    <w:p w:rsidR="00E77CB3" w:rsidRPr="00915031" w:rsidRDefault="00E77CB3" w:rsidP="00915031">
      <w:pPr>
        <w:jc w:val="center"/>
        <w:rPr>
          <w:lang w:val="fr-FR"/>
        </w:rPr>
      </w:pPr>
    </w:p>
    <w:p w:rsidR="00A42DD5" w:rsidRPr="00915031" w:rsidRDefault="00A42DD5" w:rsidP="00915031">
      <w:pPr>
        <w:jc w:val="center"/>
        <w:rPr>
          <w:lang w:val="fr-FR"/>
        </w:rPr>
      </w:pPr>
    </w:p>
    <w:p w:rsidR="00A42DD5" w:rsidRPr="00915031" w:rsidRDefault="00A42DD5" w:rsidP="00915031">
      <w:pPr>
        <w:jc w:val="center"/>
        <w:rPr>
          <w:lang w:val="fr-FR"/>
        </w:rPr>
      </w:pPr>
    </w:p>
    <w:p w:rsidR="00A42DD5" w:rsidRPr="00915031" w:rsidRDefault="00A42DD5" w:rsidP="00915031">
      <w:pPr>
        <w:jc w:val="center"/>
        <w:rPr>
          <w:lang w:val="fr-FR"/>
        </w:rPr>
      </w:pPr>
    </w:p>
    <w:p w:rsidR="00A42DD5" w:rsidRPr="00915031" w:rsidRDefault="00A42DD5" w:rsidP="00915031">
      <w:pPr>
        <w:jc w:val="center"/>
        <w:rPr>
          <w:lang w:val="fr-FR"/>
        </w:rPr>
      </w:pPr>
    </w:p>
    <w:p w:rsidR="00A42DD5" w:rsidRPr="00915031" w:rsidRDefault="00A42DD5" w:rsidP="00915031">
      <w:pPr>
        <w:jc w:val="center"/>
        <w:rPr>
          <w:lang w:val="fr-FR"/>
        </w:rPr>
      </w:pPr>
    </w:p>
    <w:p w:rsidR="00E77CB3" w:rsidRPr="00915031" w:rsidRDefault="00E77CB3" w:rsidP="00915031">
      <w:pPr>
        <w:jc w:val="center"/>
        <w:rPr>
          <w:b/>
          <w:lang w:val="fr-FR"/>
        </w:rPr>
      </w:pPr>
      <w:bookmarkStart w:id="1" w:name="To"/>
      <w:r w:rsidRPr="00915031">
        <w:rPr>
          <w:b/>
          <w:lang w:val="fr-FR"/>
        </w:rPr>
        <w:t xml:space="preserve">AFFAIRE </w:t>
      </w:r>
      <w:bookmarkEnd w:id="1"/>
      <w:r w:rsidR="00457B85" w:rsidRPr="00915031">
        <w:rPr>
          <w:b/>
          <w:lang w:val="fr-FR"/>
        </w:rPr>
        <w:t>MESSANA</w:t>
      </w:r>
      <w:r w:rsidR="00574850" w:rsidRPr="00915031">
        <w:rPr>
          <w:b/>
          <w:lang w:val="fr-FR"/>
        </w:rPr>
        <w:t xml:space="preserve"> </w:t>
      </w:r>
      <w:r w:rsidR="00457B85" w:rsidRPr="00915031">
        <w:rPr>
          <w:b/>
          <w:lang w:val="fr-FR"/>
        </w:rPr>
        <w:t>c. ITALIE</w:t>
      </w:r>
    </w:p>
    <w:p w:rsidR="00E77CB3" w:rsidRPr="00915031" w:rsidRDefault="00E77CB3" w:rsidP="00915031">
      <w:pPr>
        <w:jc w:val="center"/>
        <w:rPr>
          <w:lang w:val="fr-FR"/>
        </w:rPr>
      </w:pPr>
    </w:p>
    <w:p w:rsidR="00E77CB3" w:rsidRPr="00915031" w:rsidRDefault="00E77CB3" w:rsidP="00915031">
      <w:pPr>
        <w:jc w:val="center"/>
        <w:rPr>
          <w:szCs w:val="24"/>
          <w:u w:val="single"/>
          <w:lang w:val="fr-FR"/>
        </w:rPr>
      </w:pPr>
      <w:r w:rsidRPr="00915031">
        <w:rPr>
          <w:i/>
          <w:lang w:val="fr-FR"/>
        </w:rPr>
        <w:t>(</w:t>
      </w:r>
      <w:r w:rsidR="00457B85" w:rsidRPr="00915031">
        <w:rPr>
          <w:i/>
          <w:lang w:val="fr-FR"/>
        </w:rPr>
        <w:t>Requête n</w:t>
      </w:r>
      <w:r w:rsidR="00457B85" w:rsidRPr="00915031">
        <w:rPr>
          <w:i/>
          <w:vertAlign w:val="superscript"/>
          <w:lang w:val="fr-FR"/>
        </w:rPr>
        <w:t>o</w:t>
      </w:r>
      <w:r w:rsidR="00457B85" w:rsidRPr="00915031">
        <w:rPr>
          <w:i/>
          <w:lang w:val="fr-FR"/>
        </w:rPr>
        <w:t xml:space="preserve"> 26128/04</w:t>
      </w:r>
      <w:r w:rsidRPr="00915031">
        <w:rPr>
          <w:i/>
          <w:lang w:val="fr-FR"/>
        </w:rPr>
        <w:t>)</w:t>
      </w:r>
    </w:p>
    <w:p w:rsidR="00A42DD5" w:rsidRPr="00915031" w:rsidRDefault="00A42DD5" w:rsidP="00915031">
      <w:pPr>
        <w:jc w:val="center"/>
        <w:rPr>
          <w:szCs w:val="24"/>
          <w:lang w:val="fr-FR"/>
        </w:rPr>
      </w:pPr>
    </w:p>
    <w:p w:rsidR="00A42DD5" w:rsidRPr="00915031" w:rsidRDefault="00A42DD5" w:rsidP="00915031">
      <w:pPr>
        <w:jc w:val="center"/>
        <w:rPr>
          <w:szCs w:val="24"/>
          <w:lang w:val="fr-FR"/>
        </w:rPr>
      </w:pPr>
    </w:p>
    <w:p w:rsidR="00A42DD5" w:rsidRPr="00915031" w:rsidRDefault="00A42DD5" w:rsidP="00915031">
      <w:pPr>
        <w:jc w:val="center"/>
        <w:rPr>
          <w:szCs w:val="24"/>
          <w:lang w:val="fr-FR"/>
        </w:rPr>
      </w:pPr>
    </w:p>
    <w:p w:rsidR="00A42DD5" w:rsidRPr="00915031" w:rsidRDefault="00A42DD5" w:rsidP="00915031">
      <w:pPr>
        <w:jc w:val="center"/>
        <w:rPr>
          <w:szCs w:val="24"/>
          <w:lang w:val="fr-FR"/>
        </w:rPr>
      </w:pPr>
    </w:p>
    <w:p w:rsidR="00915031" w:rsidRPr="00915031" w:rsidRDefault="00915031" w:rsidP="00915031">
      <w:pPr>
        <w:jc w:val="center"/>
        <w:rPr>
          <w:szCs w:val="24"/>
          <w:lang w:val="fr-FR"/>
        </w:rPr>
      </w:pPr>
    </w:p>
    <w:p w:rsidR="00915031" w:rsidRPr="00915031" w:rsidRDefault="00915031" w:rsidP="00915031">
      <w:pPr>
        <w:jc w:val="center"/>
        <w:rPr>
          <w:szCs w:val="24"/>
          <w:lang w:val="fr-FR"/>
        </w:rPr>
      </w:pPr>
    </w:p>
    <w:p w:rsidR="00915031" w:rsidRPr="00915031" w:rsidRDefault="00915031" w:rsidP="00915031">
      <w:pPr>
        <w:jc w:val="center"/>
        <w:rPr>
          <w:szCs w:val="24"/>
          <w:lang w:val="fr-FR"/>
        </w:rPr>
      </w:pPr>
    </w:p>
    <w:p w:rsidR="00915031" w:rsidRPr="00915031" w:rsidRDefault="00915031" w:rsidP="00915031">
      <w:pPr>
        <w:jc w:val="center"/>
        <w:rPr>
          <w:szCs w:val="24"/>
          <w:lang w:val="fr-FR"/>
        </w:rPr>
      </w:pPr>
    </w:p>
    <w:p w:rsidR="00915031" w:rsidRPr="00915031" w:rsidRDefault="00915031" w:rsidP="00915031">
      <w:pPr>
        <w:jc w:val="center"/>
        <w:rPr>
          <w:szCs w:val="24"/>
          <w:lang w:val="fr-FR"/>
        </w:rPr>
      </w:pPr>
    </w:p>
    <w:p w:rsidR="00915031" w:rsidRPr="00915031" w:rsidRDefault="00915031" w:rsidP="00915031">
      <w:pPr>
        <w:jc w:val="center"/>
        <w:rPr>
          <w:szCs w:val="24"/>
          <w:lang w:val="fr-FR"/>
        </w:rPr>
      </w:pPr>
    </w:p>
    <w:p w:rsidR="00915031" w:rsidRPr="00915031" w:rsidRDefault="00915031" w:rsidP="00915031">
      <w:pPr>
        <w:jc w:val="center"/>
        <w:rPr>
          <w:szCs w:val="24"/>
          <w:lang w:val="fr-FR"/>
        </w:rPr>
      </w:pPr>
    </w:p>
    <w:p w:rsidR="00A42DD5" w:rsidRPr="00915031" w:rsidRDefault="00A42DD5" w:rsidP="00915031">
      <w:pPr>
        <w:jc w:val="center"/>
        <w:rPr>
          <w:szCs w:val="24"/>
          <w:lang w:val="fr-FR"/>
        </w:rPr>
      </w:pPr>
      <w:r w:rsidRPr="00915031">
        <w:rPr>
          <w:szCs w:val="24"/>
          <w:lang w:val="fr-FR"/>
        </w:rPr>
        <w:t>ARRÊT</w:t>
      </w:r>
    </w:p>
    <w:p w:rsidR="00A42DD5" w:rsidRPr="00915031" w:rsidRDefault="00A42DD5" w:rsidP="00915031">
      <w:pPr>
        <w:jc w:val="center"/>
        <w:rPr>
          <w:szCs w:val="24"/>
          <w:lang w:val="fr-FR"/>
        </w:rPr>
      </w:pPr>
    </w:p>
    <w:p w:rsidR="00A42DD5" w:rsidRPr="00915031" w:rsidRDefault="00A42DD5" w:rsidP="00915031">
      <w:pPr>
        <w:jc w:val="center"/>
        <w:rPr>
          <w:szCs w:val="24"/>
          <w:lang w:val="fr-FR"/>
        </w:rPr>
      </w:pPr>
    </w:p>
    <w:p w:rsidR="00A42DD5" w:rsidRPr="00915031" w:rsidRDefault="00A42DD5" w:rsidP="00915031">
      <w:pPr>
        <w:jc w:val="center"/>
        <w:rPr>
          <w:szCs w:val="24"/>
          <w:lang w:val="fr-FR"/>
        </w:rPr>
      </w:pPr>
    </w:p>
    <w:p w:rsidR="00A42DD5" w:rsidRPr="00915031" w:rsidRDefault="00A42DD5" w:rsidP="00915031">
      <w:pPr>
        <w:jc w:val="center"/>
        <w:rPr>
          <w:szCs w:val="24"/>
          <w:lang w:val="fr-FR"/>
        </w:rPr>
      </w:pPr>
    </w:p>
    <w:p w:rsidR="00A42DD5" w:rsidRPr="00915031" w:rsidRDefault="00A42DD5" w:rsidP="00915031">
      <w:pPr>
        <w:jc w:val="center"/>
        <w:rPr>
          <w:szCs w:val="24"/>
          <w:lang w:val="fr-FR"/>
        </w:rPr>
      </w:pPr>
      <w:r w:rsidRPr="00915031">
        <w:rPr>
          <w:szCs w:val="24"/>
          <w:lang w:val="fr-FR"/>
        </w:rPr>
        <w:t>STRASBOURG</w:t>
      </w:r>
    </w:p>
    <w:p w:rsidR="00A42DD5" w:rsidRPr="00915031" w:rsidRDefault="00A42DD5" w:rsidP="00915031">
      <w:pPr>
        <w:jc w:val="center"/>
        <w:rPr>
          <w:szCs w:val="24"/>
          <w:lang w:val="fr-FR"/>
        </w:rPr>
      </w:pPr>
    </w:p>
    <w:p w:rsidR="00A42DD5" w:rsidRPr="00915031" w:rsidRDefault="001350A9" w:rsidP="00915031">
      <w:pPr>
        <w:jc w:val="center"/>
        <w:rPr>
          <w:szCs w:val="24"/>
          <w:lang w:val="fr-FR"/>
        </w:rPr>
      </w:pPr>
      <w:r w:rsidRPr="00915031">
        <w:rPr>
          <w:szCs w:val="24"/>
          <w:lang w:val="fr-FR"/>
        </w:rPr>
        <w:t>9 février 2017</w:t>
      </w:r>
    </w:p>
    <w:p w:rsidR="00A42DD5" w:rsidRPr="00915031" w:rsidRDefault="00A42DD5" w:rsidP="00915031">
      <w:pPr>
        <w:jc w:val="center"/>
        <w:rPr>
          <w:szCs w:val="24"/>
          <w:lang w:val="fr-FR"/>
        </w:rPr>
      </w:pPr>
    </w:p>
    <w:p w:rsidR="009A79F1" w:rsidRPr="00915031" w:rsidRDefault="009A79F1" w:rsidP="00915031">
      <w:pPr>
        <w:jc w:val="center"/>
        <w:rPr>
          <w:szCs w:val="24"/>
          <w:lang w:val="fr-FR"/>
        </w:rPr>
      </w:pPr>
    </w:p>
    <w:p w:rsidR="00A42DD5" w:rsidRPr="00915031" w:rsidRDefault="00A42DD5" w:rsidP="00915031">
      <w:pPr>
        <w:jc w:val="left"/>
        <w:rPr>
          <w:i/>
          <w:sz w:val="22"/>
          <w:lang w:val="fr-FR"/>
        </w:rPr>
      </w:pPr>
      <w:r w:rsidRPr="00915031">
        <w:rPr>
          <w:i/>
          <w:sz w:val="22"/>
          <w:lang w:val="fr-FR"/>
        </w:rPr>
        <w:t>Cet arrêt deviendra définitif dans les conditions définies à l</w:t>
      </w:r>
      <w:r w:rsidR="00915031" w:rsidRPr="00915031">
        <w:rPr>
          <w:i/>
          <w:sz w:val="22"/>
          <w:lang w:val="fr-FR"/>
        </w:rPr>
        <w:t>’</w:t>
      </w:r>
      <w:r w:rsidRPr="00915031">
        <w:rPr>
          <w:i/>
          <w:sz w:val="22"/>
          <w:lang w:val="fr-FR"/>
        </w:rPr>
        <w:t>article 44 § 2 de la Convention. Il peut subir des retouches de forme.</w:t>
      </w:r>
    </w:p>
    <w:p w:rsidR="00A42DD5" w:rsidRPr="00915031" w:rsidRDefault="00A42DD5" w:rsidP="00915031">
      <w:pPr>
        <w:pStyle w:val="JuCase"/>
        <w:jc w:val="left"/>
        <w:rPr>
          <w:lang w:val="fr-FR"/>
        </w:rPr>
        <w:sectPr w:rsidR="00A42DD5" w:rsidRPr="00915031" w:rsidSect="00A42DD5">
          <w:headerReference w:type="default" r:id="rId11"/>
          <w:headerReference w:type="first" r:id="rId12"/>
          <w:footerReference w:type="first" r:id="rId13"/>
          <w:footnotePr>
            <w:numRestart w:val="eachSect"/>
          </w:footnotePr>
          <w:pgSz w:w="11906" w:h="16838" w:code="9"/>
          <w:pgMar w:top="2274" w:right="2274" w:bottom="2274" w:left="2274" w:header="1701" w:footer="720" w:gutter="0"/>
          <w:pgNumType w:start="1"/>
          <w:cols w:space="720"/>
          <w:titlePg/>
          <w:docGrid w:linePitch="326"/>
        </w:sectPr>
      </w:pPr>
    </w:p>
    <w:p w:rsidR="00E77CB3" w:rsidRPr="00915031" w:rsidRDefault="00E77CB3" w:rsidP="00915031">
      <w:pPr>
        <w:pStyle w:val="JuCase"/>
        <w:jc w:val="left"/>
        <w:rPr>
          <w:lang w:val="fr-FR"/>
        </w:rPr>
      </w:pPr>
      <w:r w:rsidRPr="00915031">
        <w:rPr>
          <w:lang w:val="fr-FR"/>
        </w:rPr>
        <w:lastRenderedPageBreak/>
        <w:t>En l</w:t>
      </w:r>
      <w:r w:rsidR="00915031" w:rsidRPr="00915031">
        <w:rPr>
          <w:lang w:val="fr-FR"/>
        </w:rPr>
        <w:t>’</w:t>
      </w:r>
      <w:r w:rsidRPr="00915031">
        <w:rPr>
          <w:lang w:val="fr-FR"/>
        </w:rPr>
        <w:t xml:space="preserve">affaire </w:t>
      </w:r>
      <w:proofErr w:type="spellStart"/>
      <w:r w:rsidR="00457B85" w:rsidRPr="00915031">
        <w:rPr>
          <w:lang w:val="fr-FR"/>
        </w:rPr>
        <w:t>Messana</w:t>
      </w:r>
      <w:proofErr w:type="spellEnd"/>
      <w:r w:rsidR="00457B85" w:rsidRPr="00915031">
        <w:rPr>
          <w:lang w:val="fr-FR"/>
        </w:rPr>
        <w:t xml:space="preserve"> c. Italie</w:t>
      </w:r>
      <w:r w:rsidRPr="00915031">
        <w:rPr>
          <w:lang w:val="fr-FR"/>
        </w:rPr>
        <w:t>,</w:t>
      </w:r>
    </w:p>
    <w:p w:rsidR="00E77CB3" w:rsidRPr="00915031" w:rsidRDefault="00E77CB3" w:rsidP="00915031">
      <w:pPr>
        <w:pStyle w:val="ECHRPara"/>
        <w:rPr>
          <w:lang w:val="fr-FR"/>
        </w:rPr>
      </w:pPr>
      <w:r w:rsidRPr="00915031">
        <w:rPr>
          <w:lang w:val="fr-FR"/>
        </w:rPr>
        <w:t>La Cour européenne des droits de l</w:t>
      </w:r>
      <w:r w:rsidR="00915031" w:rsidRPr="00915031">
        <w:rPr>
          <w:lang w:val="fr-FR"/>
        </w:rPr>
        <w:t>’</w:t>
      </w:r>
      <w:r w:rsidRPr="00915031">
        <w:rPr>
          <w:lang w:val="fr-FR"/>
        </w:rPr>
        <w:t>homme (</w:t>
      </w:r>
      <w:r w:rsidR="00457B85" w:rsidRPr="00915031">
        <w:rPr>
          <w:lang w:val="fr-FR"/>
        </w:rPr>
        <w:t>première section</w:t>
      </w:r>
      <w:r w:rsidRPr="00915031">
        <w:rPr>
          <w:lang w:val="fr-FR"/>
        </w:rPr>
        <w:t xml:space="preserve">), siégeant en </w:t>
      </w:r>
      <w:r w:rsidR="00457B85" w:rsidRPr="00915031">
        <w:rPr>
          <w:lang w:val="fr-FR"/>
        </w:rPr>
        <w:t>une chambre composée</w:t>
      </w:r>
      <w:r w:rsidRPr="00915031">
        <w:rPr>
          <w:lang w:val="fr-FR"/>
        </w:rPr>
        <w:t xml:space="preserve"> de :</w:t>
      </w:r>
    </w:p>
    <w:p w:rsidR="00E77CB3" w:rsidRPr="00915031" w:rsidRDefault="00A42DD5" w:rsidP="00915031">
      <w:pPr>
        <w:pStyle w:val="ECHRDecisionBody"/>
        <w:rPr>
          <w:lang w:val="fr-FR"/>
        </w:rPr>
      </w:pPr>
      <w:r w:rsidRPr="00915031">
        <w:rPr>
          <w:lang w:val="fr-FR"/>
        </w:rPr>
        <w:tab/>
      </w:r>
      <w:proofErr w:type="spellStart"/>
      <w:r w:rsidRPr="00915031">
        <w:rPr>
          <w:lang w:val="fr-FR"/>
        </w:rPr>
        <w:t>Mirjana</w:t>
      </w:r>
      <w:proofErr w:type="spellEnd"/>
      <w:r w:rsidRPr="00915031">
        <w:rPr>
          <w:lang w:val="fr-FR"/>
        </w:rPr>
        <w:t xml:space="preserve"> </w:t>
      </w:r>
      <w:proofErr w:type="spellStart"/>
      <w:r w:rsidRPr="00915031">
        <w:rPr>
          <w:lang w:val="fr-FR"/>
        </w:rPr>
        <w:t>Lazarova</w:t>
      </w:r>
      <w:proofErr w:type="spellEnd"/>
      <w:r w:rsidRPr="00915031">
        <w:rPr>
          <w:lang w:val="fr-FR"/>
        </w:rPr>
        <w:t xml:space="preserve"> </w:t>
      </w:r>
      <w:proofErr w:type="spellStart"/>
      <w:r w:rsidRPr="00915031">
        <w:rPr>
          <w:lang w:val="fr-FR"/>
        </w:rPr>
        <w:t>Trajkovska</w:t>
      </w:r>
      <w:proofErr w:type="spellEnd"/>
      <w:r w:rsidRPr="00915031">
        <w:rPr>
          <w:lang w:val="fr-FR"/>
        </w:rPr>
        <w:t>,</w:t>
      </w:r>
      <w:r w:rsidRPr="00915031">
        <w:rPr>
          <w:i/>
          <w:lang w:val="fr-FR"/>
        </w:rPr>
        <w:t xml:space="preserve"> présidente,</w:t>
      </w:r>
      <w:r w:rsidRPr="00915031">
        <w:rPr>
          <w:i/>
          <w:lang w:val="fr-FR"/>
        </w:rPr>
        <w:br/>
      </w:r>
      <w:r w:rsidRPr="00915031">
        <w:rPr>
          <w:lang w:val="fr-FR"/>
        </w:rPr>
        <w:tab/>
      </w:r>
      <w:proofErr w:type="spellStart"/>
      <w:r w:rsidRPr="00915031">
        <w:rPr>
          <w:lang w:val="fr-FR"/>
        </w:rPr>
        <w:t>Ledi</w:t>
      </w:r>
      <w:proofErr w:type="spellEnd"/>
      <w:r w:rsidRPr="00915031">
        <w:rPr>
          <w:lang w:val="fr-FR"/>
        </w:rPr>
        <w:t xml:space="preserve"> </w:t>
      </w:r>
      <w:proofErr w:type="spellStart"/>
      <w:r w:rsidRPr="00915031">
        <w:rPr>
          <w:lang w:val="fr-FR"/>
        </w:rPr>
        <w:t>Bianku</w:t>
      </w:r>
      <w:proofErr w:type="spellEnd"/>
      <w:r w:rsidRPr="00915031">
        <w:rPr>
          <w:lang w:val="fr-FR"/>
        </w:rPr>
        <w:t>,</w:t>
      </w:r>
      <w:r w:rsidRPr="00915031">
        <w:rPr>
          <w:i/>
          <w:lang w:val="fr-FR"/>
        </w:rPr>
        <w:br/>
      </w:r>
      <w:r w:rsidRPr="00915031">
        <w:rPr>
          <w:lang w:val="fr-FR"/>
        </w:rPr>
        <w:tab/>
        <w:t>Guido Raimondi,</w:t>
      </w:r>
      <w:r w:rsidRPr="00915031">
        <w:rPr>
          <w:i/>
          <w:lang w:val="fr-FR"/>
        </w:rPr>
        <w:br/>
      </w:r>
      <w:r w:rsidRPr="00915031">
        <w:rPr>
          <w:lang w:val="fr-FR"/>
        </w:rPr>
        <w:tab/>
        <w:t xml:space="preserve">Kristina </w:t>
      </w:r>
      <w:proofErr w:type="spellStart"/>
      <w:r w:rsidRPr="00915031">
        <w:rPr>
          <w:lang w:val="fr-FR"/>
        </w:rPr>
        <w:t>Pardalos</w:t>
      </w:r>
      <w:proofErr w:type="spellEnd"/>
      <w:r w:rsidRPr="00915031">
        <w:rPr>
          <w:lang w:val="fr-FR"/>
        </w:rPr>
        <w:t>,</w:t>
      </w:r>
      <w:r w:rsidRPr="00915031">
        <w:rPr>
          <w:i/>
          <w:lang w:val="fr-FR"/>
        </w:rPr>
        <w:br/>
      </w:r>
      <w:r w:rsidRPr="00915031">
        <w:rPr>
          <w:lang w:val="fr-FR"/>
        </w:rPr>
        <w:tab/>
      </w:r>
      <w:proofErr w:type="spellStart"/>
      <w:r w:rsidRPr="00915031">
        <w:rPr>
          <w:lang w:val="fr-FR"/>
        </w:rPr>
        <w:t>Aleš</w:t>
      </w:r>
      <w:proofErr w:type="spellEnd"/>
      <w:r w:rsidRPr="00915031">
        <w:rPr>
          <w:lang w:val="fr-FR"/>
        </w:rPr>
        <w:t xml:space="preserve"> </w:t>
      </w:r>
      <w:proofErr w:type="spellStart"/>
      <w:r w:rsidRPr="00915031">
        <w:rPr>
          <w:lang w:val="fr-FR"/>
        </w:rPr>
        <w:t>Pejchal</w:t>
      </w:r>
      <w:proofErr w:type="spellEnd"/>
      <w:r w:rsidRPr="00915031">
        <w:rPr>
          <w:lang w:val="fr-FR"/>
        </w:rPr>
        <w:t>,</w:t>
      </w:r>
      <w:r w:rsidRPr="00915031">
        <w:rPr>
          <w:i/>
          <w:lang w:val="fr-FR"/>
        </w:rPr>
        <w:br/>
      </w:r>
      <w:r w:rsidRPr="00915031">
        <w:rPr>
          <w:lang w:val="fr-FR"/>
        </w:rPr>
        <w:tab/>
      </w:r>
      <w:proofErr w:type="spellStart"/>
      <w:r w:rsidRPr="00915031">
        <w:rPr>
          <w:lang w:val="fr-FR"/>
        </w:rPr>
        <w:t>Armen</w:t>
      </w:r>
      <w:proofErr w:type="spellEnd"/>
      <w:r w:rsidRPr="00915031">
        <w:rPr>
          <w:lang w:val="fr-FR"/>
        </w:rPr>
        <w:t xml:space="preserve"> </w:t>
      </w:r>
      <w:proofErr w:type="spellStart"/>
      <w:r w:rsidRPr="00915031">
        <w:rPr>
          <w:lang w:val="fr-FR"/>
        </w:rPr>
        <w:t>Harutyunyan</w:t>
      </w:r>
      <w:proofErr w:type="spellEnd"/>
      <w:r w:rsidRPr="00915031">
        <w:rPr>
          <w:lang w:val="fr-FR"/>
        </w:rPr>
        <w:t>,</w:t>
      </w:r>
      <w:r w:rsidRPr="00915031">
        <w:rPr>
          <w:i/>
          <w:lang w:val="fr-FR"/>
        </w:rPr>
        <w:br/>
      </w:r>
      <w:r w:rsidRPr="00915031">
        <w:rPr>
          <w:lang w:val="fr-FR"/>
        </w:rPr>
        <w:tab/>
      </w:r>
      <w:proofErr w:type="spellStart"/>
      <w:r w:rsidRPr="00915031">
        <w:rPr>
          <w:lang w:val="fr-FR"/>
        </w:rPr>
        <w:t>Pauliine</w:t>
      </w:r>
      <w:proofErr w:type="spellEnd"/>
      <w:r w:rsidRPr="00915031">
        <w:rPr>
          <w:lang w:val="fr-FR"/>
        </w:rPr>
        <w:t xml:space="preserve"> </w:t>
      </w:r>
      <w:proofErr w:type="spellStart"/>
      <w:r w:rsidRPr="00915031">
        <w:rPr>
          <w:lang w:val="fr-FR"/>
        </w:rPr>
        <w:t>Koskelo</w:t>
      </w:r>
      <w:proofErr w:type="spellEnd"/>
      <w:r w:rsidRPr="00915031">
        <w:rPr>
          <w:lang w:val="fr-FR"/>
        </w:rPr>
        <w:t>,</w:t>
      </w:r>
      <w:r w:rsidRPr="00915031">
        <w:rPr>
          <w:i/>
          <w:lang w:val="fr-FR"/>
        </w:rPr>
        <w:t xml:space="preserve"> juges</w:t>
      </w:r>
      <w:proofErr w:type="gramStart"/>
      <w:r w:rsidRPr="00915031">
        <w:rPr>
          <w:i/>
          <w:lang w:val="fr-FR"/>
        </w:rPr>
        <w:t>,</w:t>
      </w:r>
      <w:proofErr w:type="gramEnd"/>
      <w:r w:rsidR="00E77CB3" w:rsidRPr="00915031">
        <w:rPr>
          <w:lang w:val="fr-FR"/>
        </w:rPr>
        <w:br/>
        <w:t xml:space="preserve">et de </w:t>
      </w:r>
      <w:r w:rsidR="00A27806" w:rsidRPr="00915031">
        <w:rPr>
          <w:lang w:val="fr-FR"/>
        </w:rPr>
        <w:t xml:space="preserve">Renata </w:t>
      </w:r>
      <w:proofErr w:type="spellStart"/>
      <w:r w:rsidR="00A27806" w:rsidRPr="00915031">
        <w:rPr>
          <w:lang w:val="fr-FR"/>
        </w:rPr>
        <w:t>Degener</w:t>
      </w:r>
      <w:proofErr w:type="spellEnd"/>
      <w:r w:rsidR="00E77CB3" w:rsidRPr="00915031">
        <w:rPr>
          <w:lang w:val="fr-FR"/>
        </w:rPr>
        <w:t xml:space="preserve">, </w:t>
      </w:r>
      <w:r w:rsidR="00A27806" w:rsidRPr="00915031">
        <w:rPr>
          <w:i/>
          <w:lang w:val="fr-FR"/>
        </w:rPr>
        <w:t>greffière adjointe</w:t>
      </w:r>
      <w:r w:rsidR="00457B85" w:rsidRPr="00915031">
        <w:rPr>
          <w:iCs/>
          <w:lang w:val="fr-FR"/>
        </w:rPr>
        <w:t xml:space="preserve"> </w:t>
      </w:r>
      <w:r w:rsidR="00457B85" w:rsidRPr="00915031">
        <w:rPr>
          <w:i/>
          <w:iCs/>
          <w:lang w:val="fr-FR"/>
        </w:rPr>
        <w:t>d</w:t>
      </w:r>
      <w:r w:rsidR="00457B85" w:rsidRPr="00915031">
        <w:rPr>
          <w:i/>
          <w:lang w:val="fr-FR"/>
        </w:rPr>
        <w:t>e section</w:t>
      </w:r>
      <w:r w:rsidR="00E77CB3" w:rsidRPr="00915031">
        <w:rPr>
          <w:lang w:val="fr-FR"/>
        </w:rPr>
        <w:t>,</w:t>
      </w:r>
    </w:p>
    <w:p w:rsidR="00E77CB3" w:rsidRPr="00915031" w:rsidRDefault="00E77CB3" w:rsidP="00915031">
      <w:pPr>
        <w:pStyle w:val="ECHRPara"/>
        <w:rPr>
          <w:lang w:val="fr-FR"/>
        </w:rPr>
      </w:pPr>
      <w:r w:rsidRPr="00915031">
        <w:rPr>
          <w:lang w:val="fr-FR"/>
        </w:rPr>
        <w:t xml:space="preserve">Après en avoir délibéré en chambre du conseil le </w:t>
      </w:r>
      <w:r w:rsidR="00A42DD5" w:rsidRPr="00915031">
        <w:rPr>
          <w:lang w:val="fr-FR"/>
        </w:rPr>
        <w:t>17 janvier 2017</w:t>
      </w:r>
      <w:r w:rsidRPr="00915031">
        <w:rPr>
          <w:lang w:val="fr-FR"/>
        </w:rPr>
        <w:t>,</w:t>
      </w:r>
    </w:p>
    <w:p w:rsidR="00E77CB3" w:rsidRPr="00915031" w:rsidRDefault="00E77CB3" w:rsidP="00915031">
      <w:pPr>
        <w:pStyle w:val="ECHRPara"/>
        <w:rPr>
          <w:lang w:val="fr-FR"/>
        </w:rPr>
      </w:pPr>
      <w:r w:rsidRPr="00915031">
        <w:rPr>
          <w:lang w:val="fr-FR"/>
        </w:rPr>
        <w:t>Rend l</w:t>
      </w:r>
      <w:r w:rsidR="00915031" w:rsidRPr="00915031">
        <w:rPr>
          <w:lang w:val="fr-FR"/>
        </w:rPr>
        <w:t>’</w:t>
      </w:r>
      <w:r w:rsidRPr="00915031">
        <w:rPr>
          <w:lang w:val="fr-FR"/>
        </w:rPr>
        <w:t>arrêt que voici, adopté à cette date :</w:t>
      </w:r>
    </w:p>
    <w:p w:rsidR="00E77CB3" w:rsidRPr="00915031" w:rsidRDefault="00E77CB3" w:rsidP="00915031">
      <w:pPr>
        <w:pStyle w:val="ECHRTitle1"/>
        <w:rPr>
          <w:lang w:val="fr-FR"/>
        </w:rPr>
      </w:pPr>
      <w:r w:rsidRPr="00915031">
        <w:rPr>
          <w:lang w:val="fr-FR"/>
        </w:rPr>
        <w:t>PROCÉDURE</w:t>
      </w:r>
    </w:p>
    <w:p w:rsidR="009E3BA7" w:rsidRPr="00915031" w:rsidRDefault="00457B85" w:rsidP="00915031">
      <w:pPr>
        <w:pStyle w:val="ECHRPara"/>
        <w:rPr>
          <w:lang w:val="fr-FR"/>
        </w:rPr>
      </w:pPr>
      <w:r w:rsidRPr="00915031">
        <w:rPr>
          <w:lang w:val="fr-FR"/>
        </w:rPr>
        <w:fldChar w:fldCharType="begin"/>
      </w:r>
      <w:r w:rsidRPr="00915031">
        <w:rPr>
          <w:lang w:val="fr-FR"/>
        </w:rPr>
        <w:instrText xml:space="preserve"> SEQ level0 \*arabic </w:instrText>
      </w:r>
      <w:r w:rsidRPr="00915031">
        <w:rPr>
          <w:lang w:val="fr-FR"/>
        </w:rPr>
        <w:fldChar w:fldCharType="separate"/>
      </w:r>
      <w:r w:rsidR="00915031" w:rsidRPr="00915031">
        <w:rPr>
          <w:noProof/>
          <w:lang w:val="fr-FR"/>
        </w:rPr>
        <w:t>1</w:t>
      </w:r>
      <w:r w:rsidRPr="00915031">
        <w:rPr>
          <w:lang w:val="fr-FR"/>
        </w:rPr>
        <w:fldChar w:fldCharType="end"/>
      </w:r>
      <w:r w:rsidR="00E77CB3" w:rsidRPr="00915031">
        <w:rPr>
          <w:lang w:val="fr-FR"/>
        </w:rPr>
        <w:t>.  </w:t>
      </w:r>
      <w:r w:rsidR="009E3BA7" w:rsidRPr="00915031">
        <w:rPr>
          <w:lang w:val="fr-FR"/>
        </w:rPr>
        <w:t>À l</w:t>
      </w:r>
      <w:r w:rsidR="00915031" w:rsidRPr="00915031">
        <w:rPr>
          <w:lang w:val="fr-FR"/>
        </w:rPr>
        <w:t>’</w:t>
      </w:r>
      <w:r w:rsidR="009E3BA7" w:rsidRPr="00915031">
        <w:rPr>
          <w:lang w:val="fr-FR"/>
        </w:rPr>
        <w:t>origine de l</w:t>
      </w:r>
      <w:r w:rsidR="00915031" w:rsidRPr="00915031">
        <w:rPr>
          <w:lang w:val="fr-FR"/>
        </w:rPr>
        <w:t>’</w:t>
      </w:r>
      <w:r w:rsidR="009E3BA7" w:rsidRPr="00915031">
        <w:rPr>
          <w:lang w:val="fr-FR"/>
        </w:rPr>
        <w:t>affaire se trouve une requête (n</w:t>
      </w:r>
      <w:r w:rsidR="009E3BA7" w:rsidRPr="00915031">
        <w:rPr>
          <w:vertAlign w:val="superscript"/>
          <w:lang w:val="fr-FR"/>
        </w:rPr>
        <w:t>o</w:t>
      </w:r>
      <w:r w:rsidR="009E3BA7" w:rsidRPr="00915031">
        <w:rPr>
          <w:lang w:val="fr-FR"/>
        </w:rPr>
        <w:t xml:space="preserve"> 26128/04) dirigée contre la République italienne et dont trois ressortissants de cet État, M.</w:t>
      </w:r>
      <w:r w:rsidR="00ED41F7" w:rsidRPr="00915031">
        <w:rPr>
          <w:lang w:val="fr-FR"/>
        </w:rPr>
        <w:t> </w:t>
      </w:r>
      <w:r w:rsidR="009E3BA7" w:rsidRPr="00915031">
        <w:rPr>
          <w:lang w:val="fr-FR"/>
        </w:rPr>
        <w:t>Calogero et M</w:t>
      </w:r>
      <w:r w:rsidR="009E3BA7" w:rsidRPr="00915031">
        <w:rPr>
          <w:vertAlign w:val="superscript"/>
          <w:lang w:val="fr-FR"/>
        </w:rPr>
        <w:t>mes</w:t>
      </w:r>
      <w:r w:rsidR="009E3BA7" w:rsidRPr="00915031">
        <w:rPr>
          <w:lang w:val="fr-FR"/>
        </w:rPr>
        <w:t xml:space="preserve"> Rosa et </w:t>
      </w:r>
      <w:proofErr w:type="spellStart"/>
      <w:r w:rsidR="009E3BA7" w:rsidRPr="00915031">
        <w:rPr>
          <w:lang w:val="fr-FR"/>
        </w:rPr>
        <w:t>Giuseppa</w:t>
      </w:r>
      <w:proofErr w:type="spellEnd"/>
      <w:r w:rsidR="009E3BA7" w:rsidRPr="00915031">
        <w:rPr>
          <w:lang w:val="fr-FR"/>
        </w:rPr>
        <w:t xml:space="preserve"> Marianna </w:t>
      </w:r>
      <w:proofErr w:type="spellStart"/>
      <w:r w:rsidR="009E3BA7" w:rsidRPr="00915031">
        <w:rPr>
          <w:lang w:val="fr-FR"/>
        </w:rPr>
        <w:t>Messana</w:t>
      </w:r>
      <w:proofErr w:type="spellEnd"/>
      <w:r w:rsidR="009E3BA7" w:rsidRPr="00915031">
        <w:rPr>
          <w:lang w:val="fr-FR"/>
        </w:rPr>
        <w:t xml:space="preserve"> (« les requérants »), ont saisi la Cour le 8 juillet 2004 en vertu de l</w:t>
      </w:r>
      <w:r w:rsidR="00915031" w:rsidRPr="00915031">
        <w:rPr>
          <w:lang w:val="fr-FR"/>
        </w:rPr>
        <w:t>’</w:t>
      </w:r>
      <w:r w:rsidR="009E3BA7" w:rsidRPr="00915031">
        <w:rPr>
          <w:lang w:val="fr-FR"/>
        </w:rPr>
        <w:t>article 34 de la Convention de sauvegarde des droits de l</w:t>
      </w:r>
      <w:r w:rsidR="00915031" w:rsidRPr="00915031">
        <w:rPr>
          <w:lang w:val="fr-FR"/>
        </w:rPr>
        <w:t>’</w:t>
      </w:r>
      <w:r w:rsidR="009E3BA7" w:rsidRPr="00915031">
        <w:rPr>
          <w:lang w:val="fr-FR"/>
        </w:rPr>
        <w:t>homme et des libertés fondamentales (« la Convention »).</w:t>
      </w:r>
    </w:p>
    <w:p w:rsidR="009E3BA7" w:rsidRPr="00915031" w:rsidRDefault="009E3BA7" w:rsidP="00915031">
      <w:pPr>
        <w:pStyle w:val="ECHRPara"/>
        <w:rPr>
          <w:lang w:val="fr-FR"/>
        </w:rPr>
      </w:pPr>
      <w:r w:rsidRPr="00915031">
        <w:rPr>
          <w:lang w:val="fr-FR"/>
        </w:rPr>
        <w:fldChar w:fldCharType="begin"/>
      </w:r>
      <w:r w:rsidRPr="00915031">
        <w:rPr>
          <w:lang w:val="fr-FR"/>
        </w:rPr>
        <w:instrText xml:space="preserve"> SEQ level0 \*arabic </w:instrText>
      </w:r>
      <w:r w:rsidRPr="00915031">
        <w:rPr>
          <w:lang w:val="fr-FR"/>
        </w:rPr>
        <w:fldChar w:fldCharType="separate"/>
      </w:r>
      <w:r w:rsidR="00915031" w:rsidRPr="00915031">
        <w:rPr>
          <w:noProof/>
          <w:lang w:val="fr-FR"/>
        </w:rPr>
        <w:t>2</w:t>
      </w:r>
      <w:r w:rsidRPr="00915031">
        <w:rPr>
          <w:lang w:val="fr-FR"/>
        </w:rPr>
        <w:fldChar w:fldCharType="end"/>
      </w:r>
      <w:r w:rsidRPr="00915031">
        <w:rPr>
          <w:lang w:val="fr-FR"/>
        </w:rPr>
        <w:t>.  Les requérants ont été représentés par M</w:t>
      </w:r>
      <w:r w:rsidRPr="00915031">
        <w:rPr>
          <w:vertAlign w:val="superscript"/>
          <w:lang w:val="fr-FR"/>
        </w:rPr>
        <w:t>es</w:t>
      </w:r>
      <w:r w:rsidRPr="00915031">
        <w:rPr>
          <w:lang w:val="fr-FR"/>
        </w:rPr>
        <w:t xml:space="preserve"> G. </w:t>
      </w:r>
      <w:proofErr w:type="spellStart"/>
      <w:r w:rsidRPr="00915031">
        <w:rPr>
          <w:lang w:val="fr-FR"/>
        </w:rPr>
        <w:t>Ingrascì</w:t>
      </w:r>
      <w:proofErr w:type="spellEnd"/>
      <w:r w:rsidRPr="00915031">
        <w:rPr>
          <w:lang w:val="fr-FR"/>
        </w:rPr>
        <w:t xml:space="preserve"> et A. </w:t>
      </w:r>
      <w:proofErr w:type="spellStart"/>
      <w:r w:rsidRPr="00915031">
        <w:rPr>
          <w:lang w:val="fr-FR"/>
        </w:rPr>
        <w:t>Bozzi</w:t>
      </w:r>
      <w:proofErr w:type="spellEnd"/>
      <w:r w:rsidRPr="00915031">
        <w:rPr>
          <w:lang w:val="fr-FR"/>
        </w:rPr>
        <w:t xml:space="preserve">, avocats à Catane et à Milan respectivement. </w:t>
      </w:r>
      <w:r w:rsidRPr="00915031">
        <w:rPr>
          <w:lang w:val="pt-BR"/>
        </w:rPr>
        <w:t xml:space="preserve">Le gouvernement italien (« le Gouvernement ») a été représenté par son agent, </w:t>
      </w:r>
      <w:r w:rsidRPr="00915031">
        <w:rPr>
          <w:lang w:val="fr-FR"/>
        </w:rPr>
        <w:t>M</w:t>
      </w:r>
      <w:r w:rsidRPr="00915031">
        <w:rPr>
          <w:vertAlign w:val="superscript"/>
          <w:lang w:val="fr-FR"/>
        </w:rPr>
        <w:t>me</w:t>
      </w:r>
      <w:r w:rsidRPr="00915031">
        <w:rPr>
          <w:lang w:val="fr-FR"/>
        </w:rPr>
        <w:t xml:space="preserve"> E. Spatafora, son ancien </w:t>
      </w:r>
      <w:proofErr w:type="spellStart"/>
      <w:r w:rsidRPr="00915031">
        <w:rPr>
          <w:lang w:val="fr-FR"/>
        </w:rPr>
        <w:t>coagent</w:t>
      </w:r>
      <w:proofErr w:type="spellEnd"/>
      <w:r w:rsidRPr="00915031">
        <w:rPr>
          <w:lang w:val="fr-FR"/>
        </w:rPr>
        <w:t xml:space="preserve"> M. N. Lettieri, et son </w:t>
      </w:r>
      <w:proofErr w:type="spellStart"/>
      <w:r w:rsidRPr="00915031">
        <w:rPr>
          <w:lang w:val="fr-FR"/>
        </w:rPr>
        <w:t>coagent</w:t>
      </w:r>
      <w:proofErr w:type="spellEnd"/>
      <w:r w:rsidRPr="00915031">
        <w:rPr>
          <w:lang w:val="fr-FR"/>
        </w:rPr>
        <w:t xml:space="preserve"> M</w:t>
      </w:r>
      <w:r w:rsidRPr="00915031">
        <w:rPr>
          <w:vertAlign w:val="superscript"/>
          <w:lang w:val="fr-FR"/>
        </w:rPr>
        <w:t>me </w:t>
      </w:r>
      <w:r w:rsidRPr="00915031">
        <w:rPr>
          <w:lang w:val="fr-FR"/>
        </w:rPr>
        <w:t>P. Accardo.</w:t>
      </w:r>
    </w:p>
    <w:p w:rsidR="009E3BA7" w:rsidRPr="00915031" w:rsidRDefault="009E3BA7" w:rsidP="00915031">
      <w:pPr>
        <w:pStyle w:val="ECHRPara"/>
        <w:rPr>
          <w:lang w:val="fr-FR"/>
        </w:rPr>
      </w:pPr>
      <w:r w:rsidRPr="00915031">
        <w:rPr>
          <w:lang w:val="fr-FR"/>
        </w:rPr>
        <w:fldChar w:fldCharType="begin"/>
      </w:r>
      <w:r w:rsidRPr="00915031">
        <w:rPr>
          <w:lang w:val="fr-FR"/>
        </w:rPr>
        <w:instrText xml:space="preserve"> SEQ level0 \*arabic </w:instrText>
      </w:r>
      <w:r w:rsidRPr="00915031">
        <w:rPr>
          <w:lang w:val="fr-FR"/>
        </w:rPr>
        <w:fldChar w:fldCharType="separate"/>
      </w:r>
      <w:r w:rsidR="00915031" w:rsidRPr="00915031">
        <w:rPr>
          <w:noProof/>
          <w:lang w:val="fr-FR"/>
        </w:rPr>
        <w:t>3</w:t>
      </w:r>
      <w:r w:rsidRPr="00915031">
        <w:rPr>
          <w:lang w:val="fr-FR"/>
        </w:rPr>
        <w:fldChar w:fldCharType="end"/>
      </w:r>
      <w:r w:rsidRPr="00915031">
        <w:rPr>
          <w:lang w:val="fr-FR"/>
        </w:rPr>
        <w:t>.  Le 24 mars 2006, la requête a été communiquée au Gouvernement.</w:t>
      </w:r>
    </w:p>
    <w:p w:rsidR="00E77CB3" w:rsidRPr="00915031" w:rsidRDefault="00E77CB3" w:rsidP="00915031">
      <w:pPr>
        <w:pStyle w:val="ECHRTitle1"/>
        <w:rPr>
          <w:lang w:val="fr-FR"/>
        </w:rPr>
      </w:pPr>
      <w:r w:rsidRPr="00915031">
        <w:rPr>
          <w:lang w:val="fr-FR"/>
        </w:rPr>
        <w:t>EN FAIT</w:t>
      </w:r>
    </w:p>
    <w:p w:rsidR="00E77CB3" w:rsidRPr="00915031" w:rsidRDefault="00E77CB3" w:rsidP="00915031">
      <w:pPr>
        <w:pStyle w:val="ECHRHeading1"/>
        <w:rPr>
          <w:lang w:val="fr-FR"/>
        </w:rPr>
      </w:pPr>
      <w:r w:rsidRPr="00915031">
        <w:rPr>
          <w:lang w:val="fr-FR"/>
        </w:rPr>
        <w:t>I.</w:t>
      </w:r>
      <w:proofErr w:type="gramStart"/>
      <w:r w:rsidRPr="00915031">
        <w:rPr>
          <w:lang w:val="fr-FR"/>
        </w:rPr>
        <w:t>  LES</w:t>
      </w:r>
      <w:proofErr w:type="gramEnd"/>
      <w:r w:rsidRPr="00915031">
        <w:rPr>
          <w:lang w:val="fr-FR"/>
        </w:rPr>
        <w:t xml:space="preserve"> CIRCONSTANCES DE L</w:t>
      </w:r>
      <w:r w:rsidR="00915031" w:rsidRPr="00915031">
        <w:rPr>
          <w:lang w:val="fr-FR"/>
        </w:rPr>
        <w:t>’</w:t>
      </w:r>
      <w:r w:rsidRPr="00915031">
        <w:rPr>
          <w:lang w:val="fr-FR"/>
        </w:rPr>
        <w:t>ESPÈCE</w:t>
      </w:r>
    </w:p>
    <w:p w:rsidR="00117E52" w:rsidRPr="00915031" w:rsidRDefault="00457B85" w:rsidP="00915031">
      <w:pPr>
        <w:pStyle w:val="ECHRPara"/>
        <w:rPr>
          <w:lang w:val="fr-FR"/>
        </w:rPr>
      </w:pPr>
      <w:r w:rsidRPr="00915031">
        <w:rPr>
          <w:lang w:val="fr-FR"/>
        </w:rPr>
        <w:fldChar w:fldCharType="begin"/>
      </w:r>
      <w:r w:rsidRPr="00915031">
        <w:rPr>
          <w:lang w:val="fr-FR"/>
        </w:rPr>
        <w:instrText xml:space="preserve"> SEQ level0 \*arabic </w:instrText>
      </w:r>
      <w:r w:rsidRPr="00915031">
        <w:rPr>
          <w:lang w:val="fr-FR"/>
        </w:rPr>
        <w:fldChar w:fldCharType="separate"/>
      </w:r>
      <w:r w:rsidR="00915031" w:rsidRPr="00915031">
        <w:rPr>
          <w:noProof/>
          <w:lang w:val="fr-FR"/>
        </w:rPr>
        <w:t>4</w:t>
      </w:r>
      <w:r w:rsidRPr="00915031">
        <w:rPr>
          <w:lang w:val="fr-FR"/>
        </w:rPr>
        <w:fldChar w:fldCharType="end"/>
      </w:r>
      <w:r w:rsidR="00E77CB3" w:rsidRPr="00915031">
        <w:rPr>
          <w:lang w:val="fr-FR"/>
        </w:rPr>
        <w:t>.  </w:t>
      </w:r>
      <w:r w:rsidR="00117E52" w:rsidRPr="00915031">
        <w:rPr>
          <w:lang w:val="fr-FR"/>
        </w:rPr>
        <w:t>Les requérants sont nés respectivement en 1946, 1944 et 1948 et résident à Caltanissetta.</w:t>
      </w:r>
    </w:p>
    <w:p w:rsidR="00117E52" w:rsidRPr="00915031" w:rsidRDefault="00117E52" w:rsidP="00915031">
      <w:pPr>
        <w:pStyle w:val="ECHRPara"/>
        <w:rPr>
          <w:lang w:val="fr-FR"/>
        </w:rPr>
      </w:pPr>
      <w:r w:rsidRPr="00915031">
        <w:rPr>
          <w:lang w:val="fr-FR"/>
        </w:rPr>
        <w:fldChar w:fldCharType="begin"/>
      </w:r>
      <w:r w:rsidRPr="00915031">
        <w:rPr>
          <w:lang w:val="fr-FR"/>
        </w:rPr>
        <w:instrText xml:space="preserve"> SEQ level0 \*arabic </w:instrText>
      </w:r>
      <w:r w:rsidRPr="00915031">
        <w:rPr>
          <w:lang w:val="fr-FR"/>
        </w:rPr>
        <w:fldChar w:fldCharType="separate"/>
      </w:r>
      <w:r w:rsidR="00915031" w:rsidRPr="00915031">
        <w:rPr>
          <w:noProof/>
          <w:lang w:val="fr-FR"/>
        </w:rPr>
        <w:t>5</w:t>
      </w:r>
      <w:r w:rsidRPr="00915031">
        <w:rPr>
          <w:lang w:val="fr-FR"/>
        </w:rPr>
        <w:fldChar w:fldCharType="end"/>
      </w:r>
      <w:r w:rsidRPr="00915031">
        <w:rPr>
          <w:lang w:val="fr-FR"/>
        </w:rPr>
        <w:t>.  Les requérants étaient copropriétaires d</w:t>
      </w:r>
      <w:r w:rsidR="00915031" w:rsidRPr="00915031">
        <w:rPr>
          <w:lang w:val="fr-FR"/>
        </w:rPr>
        <w:t>’</w:t>
      </w:r>
      <w:r w:rsidRPr="00915031">
        <w:rPr>
          <w:lang w:val="fr-FR"/>
        </w:rPr>
        <w:t xml:space="preserve">un terrain constructible de 3 690 mètres carrés sis à </w:t>
      </w:r>
      <w:proofErr w:type="spellStart"/>
      <w:r w:rsidRPr="00915031">
        <w:rPr>
          <w:lang w:val="fr-FR"/>
        </w:rPr>
        <w:t>Canicattí</w:t>
      </w:r>
      <w:proofErr w:type="spellEnd"/>
      <w:r w:rsidRPr="00915031">
        <w:rPr>
          <w:lang w:val="fr-FR"/>
        </w:rPr>
        <w:t xml:space="preserve"> et enregistré au cadastre, feuille 67, parcelles 12 et 14.</w:t>
      </w:r>
    </w:p>
    <w:p w:rsidR="00117E52" w:rsidRPr="00915031" w:rsidRDefault="00117E52" w:rsidP="00915031">
      <w:pPr>
        <w:pStyle w:val="ECHRPara"/>
        <w:rPr>
          <w:lang w:val="fr-FR"/>
        </w:rPr>
      </w:pPr>
      <w:r w:rsidRPr="00915031">
        <w:rPr>
          <w:lang w:val="fr-FR"/>
        </w:rPr>
        <w:fldChar w:fldCharType="begin"/>
      </w:r>
      <w:r w:rsidRPr="00915031">
        <w:rPr>
          <w:lang w:val="fr-FR"/>
        </w:rPr>
        <w:instrText xml:space="preserve"> SEQ level0 \*arabic </w:instrText>
      </w:r>
      <w:r w:rsidRPr="00915031">
        <w:rPr>
          <w:lang w:val="fr-FR"/>
        </w:rPr>
        <w:fldChar w:fldCharType="separate"/>
      </w:r>
      <w:r w:rsidR="00915031" w:rsidRPr="00915031">
        <w:rPr>
          <w:noProof/>
          <w:lang w:val="fr-FR"/>
        </w:rPr>
        <w:t>6</w:t>
      </w:r>
      <w:r w:rsidRPr="00915031">
        <w:rPr>
          <w:lang w:val="fr-FR"/>
        </w:rPr>
        <w:fldChar w:fldCharType="end"/>
      </w:r>
      <w:r w:rsidRPr="00915031">
        <w:rPr>
          <w:lang w:val="fr-FR"/>
        </w:rPr>
        <w:t xml:space="preserve">.  Par un arrêté du 14 avril 1980, la municipalité de </w:t>
      </w:r>
      <w:proofErr w:type="spellStart"/>
      <w:r w:rsidRPr="00915031">
        <w:rPr>
          <w:lang w:val="fr-FR"/>
        </w:rPr>
        <w:t>Canicattí</w:t>
      </w:r>
      <w:proofErr w:type="spellEnd"/>
      <w:r w:rsidRPr="00915031">
        <w:rPr>
          <w:lang w:val="fr-FR"/>
        </w:rPr>
        <w:t xml:space="preserve"> approuva le projet de construction d</w:t>
      </w:r>
      <w:r w:rsidR="00915031" w:rsidRPr="00915031">
        <w:rPr>
          <w:lang w:val="fr-FR"/>
        </w:rPr>
        <w:t>’</w:t>
      </w:r>
      <w:r w:rsidRPr="00915031">
        <w:rPr>
          <w:lang w:val="fr-FR"/>
        </w:rPr>
        <w:t>habitations à loyer modéré (HLM).</w:t>
      </w:r>
    </w:p>
    <w:p w:rsidR="00117E52" w:rsidRPr="00915031" w:rsidRDefault="00117E52" w:rsidP="00915031">
      <w:pPr>
        <w:pStyle w:val="ECHRPara"/>
        <w:rPr>
          <w:iCs/>
          <w:lang w:val="fr-FR"/>
        </w:rPr>
      </w:pPr>
      <w:r w:rsidRPr="00915031">
        <w:rPr>
          <w:lang w:val="fr-FR"/>
        </w:rPr>
        <w:lastRenderedPageBreak/>
        <w:fldChar w:fldCharType="begin"/>
      </w:r>
      <w:r w:rsidRPr="00915031">
        <w:rPr>
          <w:lang w:val="fr-FR"/>
        </w:rPr>
        <w:instrText xml:space="preserve"> SEQ level0 \*arabic </w:instrText>
      </w:r>
      <w:r w:rsidRPr="00915031">
        <w:rPr>
          <w:lang w:val="fr-FR"/>
        </w:rPr>
        <w:fldChar w:fldCharType="separate"/>
      </w:r>
      <w:r w:rsidR="00915031" w:rsidRPr="00915031">
        <w:rPr>
          <w:noProof/>
          <w:lang w:val="fr-FR"/>
        </w:rPr>
        <w:t>7</w:t>
      </w:r>
      <w:r w:rsidRPr="00915031">
        <w:rPr>
          <w:lang w:val="fr-FR"/>
        </w:rPr>
        <w:fldChar w:fldCharType="end"/>
      </w:r>
      <w:r w:rsidRPr="00915031">
        <w:rPr>
          <w:lang w:val="fr-FR"/>
        </w:rPr>
        <w:t xml:space="preserve">.  Par un arrêté du 18 juin 1980, la municipalité de </w:t>
      </w:r>
      <w:proofErr w:type="spellStart"/>
      <w:r w:rsidRPr="00915031">
        <w:rPr>
          <w:lang w:val="fr-FR"/>
        </w:rPr>
        <w:t>Canicattí</w:t>
      </w:r>
      <w:proofErr w:type="spellEnd"/>
      <w:r w:rsidRPr="00915031">
        <w:rPr>
          <w:lang w:val="fr-FR"/>
        </w:rPr>
        <w:t xml:space="preserve"> autorisa l</w:t>
      </w:r>
      <w:r w:rsidR="00915031" w:rsidRPr="00915031">
        <w:rPr>
          <w:lang w:val="fr-FR"/>
        </w:rPr>
        <w:t>’</w:t>
      </w:r>
      <w:r w:rsidRPr="00915031">
        <w:rPr>
          <w:iCs/>
          <w:lang w:val="fr-FR"/>
        </w:rPr>
        <w:t>Institut autonome de gestion des HLM (l</w:t>
      </w:r>
      <w:r w:rsidR="00915031" w:rsidRPr="00915031">
        <w:rPr>
          <w:iCs/>
          <w:lang w:val="fr-FR"/>
        </w:rPr>
        <w:t>’</w:t>
      </w:r>
      <w:r w:rsidRPr="00915031">
        <w:rPr>
          <w:iCs/>
          <w:lang w:val="fr-FR"/>
        </w:rPr>
        <w:t>IACP) à occuper d</w:t>
      </w:r>
      <w:r w:rsidR="00915031" w:rsidRPr="00915031">
        <w:rPr>
          <w:iCs/>
          <w:lang w:val="fr-FR"/>
        </w:rPr>
        <w:t>’</w:t>
      </w:r>
      <w:r w:rsidRPr="00915031">
        <w:rPr>
          <w:iCs/>
          <w:lang w:val="fr-FR"/>
        </w:rPr>
        <w:t>urgence le terrain</w:t>
      </w:r>
      <w:r w:rsidR="00895734" w:rsidRPr="00915031">
        <w:rPr>
          <w:iCs/>
          <w:lang w:val="fr-FR"/>
        </w:rPr>
        <w:t xml:space="preserve"> des requérants</w:t>
      </w:r>
      <w:r w:rsidRPr="00915031">
        <w:rPr>
          <w:iCs/>
          <w:lang w:val="fr-FR"/>
        </w:rPr>
        <w:t>, pour une période maximale de cinq ans, en vue de son expropriation pour cause d</w:t>
      </w:r>
      <w:r w:rsidR="00915031" w:rsidRPr="00915031">
        <w:rPr>
          <w:iCs/>
          <w:lang w:val="fr-FR"/>
        </w:rPr>
        <w:t>’</w:t>
      </w:r>
      <w:r w:rsidRPr="00915031">
        <w:rPr>
          <w:iCs/>
          <w:lang w:val="fr-FR"/>
        </w:rPr>
        <w:t>utilité publique.</w:t>
      </w:r>
    </w:p>
    <w:p w:rsidR="00117E52" w:rsidRPr="00915031" w:rsidRDefault="00117E52" w:rsidP="00915031">
      <w:pPr>
        <w:pStyle w:val="ECHRPara"/>
        <w:rPr>
          <w:lang w:val="fr-FR"/>
        </w:rPr>
      </w:pPr>
      <w:r w:rsidRPr="00915031">
        <w:rPr>
          <w:lang w:val="fr-FR"/>
        </w:rPr>
        <w:fldChar w:fldCharType="begin"/>
      </w:r>
      <w:r w:rsidRPr="00915031">
        <w:rPr>
          <w:lang w:val="fr-FR"/>
        </w:rPr>
        <w:instrText xml:space="preserve"> SEQ level0 \*arabic </w:instrText>
      </w:r>
      <w:r w:rsidRPr="00915031">
        <w:rPr>
          <w:lang w:val="fr-FR"/>
        </w:rPr>
        <w:fldChar w:fldCharType="separate"/>
      </w:r>
      <w:r w:rsidR="00915031" w:rsidRPr="00915031">
        <w:rPr>
          <w:noProof/>
          <w:lang w:val="fr-FR"/>
        </w:rPr>
        <w:t>8</w:t>
      </w:r>
      <w:r w:rsidRPr="00915031">
        <w:rPr>
          <w:lang w:val="fr-FR"/>
        </w:rPr>
        <w:fldChar w:fldCharType="end"/>
      </w:r>
      <w:r w:rsidRPr="00915031">
        <w:rPr>
          <w:lang w:val="fr-FR"/>
        </w:rPr>
        <w:t>.  Le 16 juillet 1980, il y eut occupation matérielle.</w:t>
      </w:r>
    </w:p>
    <w:p w:rsidR="00117E52" w:rsidRPr="00915031" w:rsidRDefault="00117E52" w:rsidP="00915031">
      <w:pPr>
        <w:pStyle w:val="ECHRPara"/>
        <w:rPr>
          <w:lang w:val="fr-FR"/>
        </w:rPr>
      </w:pPr>
      <w:r w:rsidRPr="00915031">
        <w:rPr>
          <w:lang w:val="fr-FR"/>
        </w:rPr>
        <w:fldChar w:fldCharType="begin"/>
      </w:r>
      <w:r w:rsidRPr="00915031">
        <w:rPr>
          <w:lang w:val="fr-FR"/>
        </w:rPr>
        <w:instrText xml:space="preserve"> SEQ level0 \*arabic </w:instrText>
      </w:r>
      <w:r w:rsidRPr="00915031">
        <w:rPr>
          <w:lang w:val="fr-FR"/>
        </w:rPr>
        <w:fldChar w:fldCharType="separate"/>
      </w:r>
      <w:r w:rsidR="00915031" w:rsidRPr="00915031">
        <w:rPr>
          <w:noProof/>
          <w:lang w:val="fr-FR"/>
        </w:rPr>
        <w:t>9</w:t>
      </w:r>
      <w:r w:rsidRPr="00915031">
        <w:rPr>
          <w:lang w:val="fr-FR"/>
        </w:rPr>
        <w:fldChar w:fldCharType="end"/>
      </w:r>
      <w:r w:rsidRPr="00915031">
        <w:rPr>
          <w:lang w:val="fr-FR"/>
        </w:rPr>
        <w:t>.  Par un acte notifié le 11 janvier 1991, les requérants introduisirent une action en dommages-intérêts à l</w:t>
      </w:r>
      <w:r w:rsidR="00915031" w:rsidRPr="00915031">
        <w:rPr>
          <w:lang w:val="fr-FR"/>
        </w:rPr>
        <w:t>’</w:t>
      </w:r>
      <w:r w:rsidRPr="00915031">
        <w:rPr>
          <w:lang w:val="fr-FR"/>
        </w:rPr>
        <w:t xml:space="preserve">encontre de la municipalité de </w:t>
      </w:r>
      <w:proofErr w:type="spellStart"/>
      <w:r w:rsidRPr="00915031">
        <w:rPr>
          <w:lang w:val="fr-FR"/>
        </w:rPr>
        <w:t>Canicattí</w:t>
      </w:r>
      <w:proofErr w:type="spellEnd"/>
      <w:r w:rsidRPr="00915031">
        <w:rPr>
          <w:lang w:val="fr-FR"/>
        </w:rPr>
        <w:t xml:space="preserve"> et de </w:t>
      </w:r>
      <w:r w:rsidRPr="00915031">
        <w:rPr>
          <w:iCs/>
          <w:lang w:val="fr-FR"/>
        </w:rPr>
        <w:t>l</w:t>
      </w:r>
      <w:r w:rsidR="00915031" w:rsidRPr="00915031">
        <w:rPr>
          <w:iCs/>
          <w:lang w:val="fr-FR"/>
        </w:rPr>
        <w:t>’</w:t>
      </w:r>
      <w:r w:rsidRPr="00915031">
        <w:rPr>
          <w:iCs/>
          <w:lang w:val="fr-FR"/>
        </w:rPr>
        <w:t>IACP devant le tribunal d</w:t>
      </w:r>
      <w:r w:rsidR="00915031" w:rsidRPr="00915031">
        <w:rPr>
          <w:iCs/>
          <w:lang w:val="fr-FR"/>
        </w:rPr>
        <w:t>’</w:t>
      </w:r>
      <w:r w:rsidRPr="00915031">
        <w:rPr>
          <w:iCs/>
          <w:lang w:val="fr-FR"/>
        </w:rPr>
        <w:t>Agrigente.</w:t>
      </w:r>
      <w:r w:rsidRPr="00915031">
        <w:rPr>
          <w:lang w:val="fr-FR"/>
        </w:rPr>
        <w:t xml:space="preserve"> Ils alléguaient que, bien que les travaux de construction effectués sur leur terrain aient transformé celui</w:t>
      </w:r>
      <w:r w:rsidR="00E91F72" w:rsidRPr="00915031">
        <w:rPr>
          <w:lang w:val="fr-FR"/>
        </w:rPr>
        <w:t>-</w:t>
      </w:r>
      <w:r w:rsidRPr="00915031">
        <w:rPr>
          <w:lang w:val="fr-FR"/>
        </w:rPr>
        <w:t>ci, aucun décret d</w:t>
      </w:r>
      <w:r w:rsidR="00915031" w:rsidRPr="00915031">
        <w:rPr>
          <w:lang w:val="fr-FR"/>
        </w:rPr>
        <w:t>’</w:t>
      </w:r>
      <w:r w:rsidRPr="00915031">
        <w:rPr>
          <w:lang w:val="fr-FR"/>
        </w:rPr>
        <w:t>expropriation et aucune indemnisation n</w:t>
      </w:r>
      <w:r w:rsidR="00915031" w:rsidRPr="00915031">
        <w:rPr>
          <w:lang w:val="fr-FR"/>
        </w:rPr>
        <w:t>’</w:t>
      </w:r>
      <w:r w:rsidRPr="00915031">
        <w:rPr>
          <w:lang w:val="fr-FR"/>
        </w:rPr>
        <w:t>étaient intervenus. Se référant au principe de l</w:t>
      </w:r>
      <w:r w:rsidR="00915031" w:rsidRPr="00915031">
        <w:rPr>
          <w:lang w:val="fr-FR"/>
        </w:rPr>
        <w:t>’</w:t>
      </w:r>
      <w:r w:rsidRPr="00915031">
        <w:rPr>
          <w:lang w:val="fr-FR"/>
        </w:rPr>
        <w:t>expropriation indirecte</w:t>
      </w:r>
      <w:r w:rsidR="00903309" w:rsidRPr="00915031">
        <w:rPr>
          <w:lang w:val="fr-FR"/>
        </w:rPr>
        <w:t xml:space="preserve"> (</w:t>
      </w:r>
      <w:r w:rsidR="009F51E3" w:rsidRPr="00915031">
        <w:rPr>
          <w:b/>
          <w:bCs/>
          <w:lang w:val="fr-FR"/>
        </w:rPr>
        <w:t>«</w:t>
      </w:r>
      <w:r w:rsidR="003D1DD7" w:rsidRPr="00915031">
        <w:rPr>
          <w:b/>
          <w:bCs/>
          <w:lang w:val="fr-FR"/>
        </w:rPr>
        <w:t> </w:t>
      </w:r>
      <w:proofErr w:type="spellStart"/>
      <w:r w:rsidR="009F51E3" w:rsidRPr="00915031">
        <w:rPr>
          <w:bCs/>
          <w:i/>
          <w:lang w:val="fr-FR"/>
        </w:rPr>
        <w:t>occupazione</w:t>
      </w:r>
      <w:proofErr w:type="spellEnd"/>
      <w:r w:rsidR="009F51E3" w:rsidRPr="00915031">
        <w:rPr>
          <w:bCs/>
          <w:i/>
          <w:lang w:val="fr-FR"/>
        </w:rPr>
        <w:t xml:space="preserve"> </w:t>
      </w:r>
      <w:proofErr w:type="spellStart"/>
      <w:r w:rsidR="009F51E3" w:rsidRPr="00915031">
        <w:rPr>
          <w:bCs/>
          <w:i/>
          <w:lang w:val="fr-FR"/>
        </w:rPr>
        <w:t>acquisitiva</w:t>
      </w:r>
      <w:proofErr w:type="spellEnd"/>
      <w:r w:rsidR="009F51E3" w:rsidRPr="00915031">
        <w:rPr>
          <w:bCs/>
          <w:i/>
          <w:lang w:val="fr-FR"/>
        </w:rPr>
        <w:t> </w:t>
      </w:r>
      <w:r w:rsidR="00903309" w:rsidRPr="00915031">
        <w:rPr>
          <w:bCs/>
          <w:lang w:val="fr-FR"/>
        </w:rPr>
        <w:t>» ou «</w:t>
      </w:r>
      <w:r w:rsidR="003D1DD7" w:rsidRPr="00915031">
        <w:rPr>
          <w:bCs/>
          <w:lang w:val="fr-FR"/>
        </w:rPr>
        <w:t> </w:t>
      </w:r>
      <w:proofErr w:type="spellStart"/>
      <w:r w:rsidR="00903309" w:rsidRPr="00915031">
        <w:rPr>
          <w:bCs/>
          <w:i/>
          <w:lang w:val="fr-FR"/>
        </w:rPr>
        <w:t>accessione</w:t>
      </w:r>
      <w:proofErr w:type="spellEnd"/>
      <w:r w:rsidR="00903309" w:rsidRPr="00915031">
        <w:rPr>
          <w:bCs/>
          <w:i/>
          <w:lang w:val="fr-FR"/>
        </w:rPr>
        <w:t xml:space="preserve"> </w:t>
      </w:r>
      <w:proofErr w:type="spellStart"/>
      <w:r w:rsidR="00903309" w:rsidRPr="00915031">
        <w:rPr>
          <w:bCs/>
          <w:i/>
          <w:lang w:val="fr-FR"/>
        </w:rPr>
        <w:t>invertita</w:t>
      </w:r>
      <w:proofErr w:type="spellEnd"/>
      <w:r w:rsidR="003D1DD7" w:rsidRPr="00915031">
        <w:rPr>
          <w:bCs/>
          <w:i/>
          <w:lang w:val="fr-FR"/>
        </w:rPr>
        <w:t> </w:t>
      </w:r>
      <w:r w:rsidR="00903309" w:rsidRPr="00915031">
        <w:rPr>
          <w:b/>
          <w:bCs/>
          <w:lang w:val="fr-FR"/>
        </w:rPr>
        <w:t>»</w:t>
      </w:r>
      <w:r w:rsidR="00903309" w:rsidRPr="00915031">
        <w:rPr>
          <w:lang w:val="fr-FR"/>
        </w:rPr>
        <w:t>)</w:t>
      </w:r>
      <w:r w:rsidRPr="00915031">
        <w:rPr>
          <w:lang w:val="fr-FR"/>
        </w:rPr>
        <w:t>, les requérants invitaient le tribunal à déclarer que la construction des HLM avait transformé leur terrain de manière irréversible. Ils réclamaient la valeur vénale du bien ; en outre ils réclamaient une réparation pour la non-jouissance du terrain pendant la période d</w:t>
      </w:r>
      <w:r w:rsidR="00915031" w:rsidRPr="00915031">
        <w:rPr>
          <w:lang w:val="fr-FR"/>
        </w:rPr>
        <w:t>’</w:t>
      </w:r>
      <w:r w:rsidRPr="00915031">
        <w:rPr>
          <w:lang w:val="fr-FR"/>
        </w:rPr>
        <w:t>occupation autorisée.</w:t>
      </w:r>
    </w:p>
    <w:p w:rsidR="00117E52" w:rsidRPr="00915031" w:rsidRDefault="00117E52" w:rsidP="00915031">
      <w:pPr>
        <w:pStyle w:val="ECHRPara"/>
        <w:rPr>
          <w:lang w:val="fr-FR"/>
        </w:rPr>
      </w:pPr>
      <w:r w:rsidRPr="00915031">
        <w:rPr>
          <w:lang w:val="fr-FR"/>
        </w:rPr>
        <w:fldChar w:fldCharType="begin"/>
      </w:r>
      <w:r w:rsidRPr="00915031">
        <w:rPr>
          <w:lang w:val="fr-FR"/>
        </w:rPr>
        <w:instrText xml:space="preserve"> SEQ level0 \*arabic </w:instrText>
      </w:r>
      <w:r w:rsidRPr="00915031">
        <w:rPr>
          <w:lang w:val="fr-FR"/>
        </w:rPr>
        <w:fldChar w:fldCharType="separate"/>
      </w:r>
      <w:r w:rsidR="00915031" w:rsidRPr="00915031">
        <w:rPr>
          <w:noProof/>
          <w:lang w:val="fr-FR"/>
        </w:rPr>
        <w:t>10</w:t>
      </w:r>
      <w:r w:rsidRPr="00915031">
        <w:rPr>
          <w:lang w:val="fr-FR"/>
        </w:rPr>
        <w:fldChar w:fldCharType="end"/>
      </w:r>
      <w:r w:rsidRPr="00915031">
        <w:rPr>
          <w:lang w:val="fr-FR"/>
        </w:rPr>
        <w:t xml:space="preserve">.  Au cours du procès, à une date non précisée, une expertise fut déposée au greffe. Il ressort de cette expertise que la transformation irréversible du terrain avait </w:t>
      </w:r>
      <w:proofErr w:type="gramStart"/>
      <w:r w:rsidRPr="00915031">
        <w:rPr>
          <w:lang w:val="fr-FR"/>
        </w:rPr>
        <w:t>eu</w:t>
      </w:r>
      <w:proofErr w:type="gramEnd"/>
      <w:r w:rsidRPr="00915031">
        <w:rPr>
          <w:lang w:val="fr-FR"/>
        </w:rPr>
        <w:t xml:space="preserve"> lieu au plus tard le 28 février 1982, à savoir à la date de la cessation de la période d</w:t>
      </w:r>
      <w:r w:rsidR="00915031" w:rsidRPr="00915031">
        <w:rPr>
          <w:lang w:val="fr-FR"/>
        </w:rPr>
        <w:t>’</w:t>
      </w:r>
      <w:r w:rsidRPr="00915031">
        <w:rPr>
          <w:lang w:val="fr-FR"/>
        </w:rPr>
        <w:t>occupation légitime identifiée par l</w:t>
      </w:r>
      <w:r w:rsidR="00915031" w:rsidRPr="00915031">
        <w:rPr>
          <w:lang w:val="fr-FR"/>
        </w:rPr>
        <w:t>’</w:t>
      </w:r>
      <w:r w:rsidRPr="00915031">
        <w:rPr>
          <w:lang w:val="fr-FR"/>
        </w:rPr>
        <w:t>expert.</w:t>
      </w:r>
    </w:p>
    <w:p w:rsidR="00117E52" w:rsidRPr="00915031" w:rsidRDefault="00117E52" w:rsidP="00915031">
      <w:pPr>
        <w:pStyle w:val="ECHRPara"/>
        <w:rPr>
          <w:lang w:val="fr-FR"/>
        </w:rPr>
      </w:pPr>
      <w:r w:rsidRPr="00915031">
        <w:rPr>
          <w:lang w:val="fr-FR"/>
        </w:rPr>
        <w:fldChar w:fldCharType="begin"/>
      </w:r>
      <w:r w:rsidRPr="00915031">
        <w:rPr>
          <w:lang w:val="fr-FR"/>
        </w:rPr>
        <w:instrText xml:space="preserve"> SEQ level0 \*arabic </w:instrText>
      </w:r>
      <w:r w:rsidRPr="00915031">
        <w:rPr>
          <w:lang w:val="fr-FR"/>
        </w:rPr>
        <w:fldChar w:fldCharType="separate"/>
      </w:r>
      <w:r w:rsidR="00915031" w:rsidRPr="00915031">
        <w:rPr>
          <w:noProof/>
          <w:lang w:val="fr-FR"/>
        </w:rPr>
        <w:t>11</w:t>
      </w:r>
      <w:r w:rsidRPr="00915031">
        <w:rPr>
          <w:lang w:val="fr-FR"/>
        </w:rPr>
        <w:fldChar w:fldCharType="end"/>
      </w:r>
      <w:r w:rsidRPr="00915031">
        <w:rPr>
          <w:lang w:val="fr-FR"/>
        </w:rPr>
        <w:t>.  Par un jugement du 23 janvier 1997, le tribunal d</w:t>
      </w:r>
      <w:r w:rsidR="00915031" w:rsidRPr="00915031">
        <w:rPr>
          <w:lang w:val="fr-FR"/>
        </w:rPr>
        <w:t>’</w:t>
      </w:r>
      <w:r w:rsidR="00CA239D" w:rsidRPr="00915031">
        <w:rPr>
          <w:lang w:val="fr-FR"/>
        </w:rPr>
        <w:t xml:space="preserve">Agrigente </w:t>
      </w:r>
      <w:r w:rsidRPr="00915031">
        <w:rPr>
          <w:lang w:val="fr-FR"/>
        </w:rPr>
        <w:t xml:space="preserve">constata </w:t>
      </w:r>
      <w:r w:rsidR="00112FED" w:rsidRPr="00915031">
        <w:rPr>
          <w:lang w:val="fr-FR"/>
        </w:rPr>
        <w:t>que la réalisation des HLM avait entraîné le transfert de propriété du terrain à l</w:t>
      </w:r>
      <w:r w:rsidR="00915031" w:rsidRPr="00915031">
        <w:rPr>
          <w:lang w:val="fr-FR"/>
        </w:rPr>
        <w:t>’</w:t>
      </w:r>
      <w:r w:rsidR="00112FED" w:rsidRPr="00915031">
        <w:rPr>
          <w:lang w:val="fr-FR"/>
        </w:rPr>
        <w:t>administration, conformément à la jurisprudence de la Cour de cassation en matière d</w:t>
      </w:r>
      <w:r w:rsidR="00915031" w:rsidRPr="00915031">
        <w:rPr>
          <w:lang w:val="fr-FR"/>
        </w:rPr>
        <w:t>’</w:t>
      </w:r>
      <w:r w:rsidR="00112FED" w:rsidRPr="00915031">
        <w:rPr>
          <w:lang w:val="fr-FR"/>
        </w:rPr>
        <w:t>expropriation indirecte</w:t>
      </w:r>
      <w:r w:rsidRPr="00915031">
        <w:rPr>
          <w:lang w:val="fr-FR"/>
        </w:rPr>
        <w:t>. Toutefois le tribunal statua qu</w:t>
      </w:r>
      <w:r w:rsidR="00915031" w:rsidRPr="00915031">
        <w:rPr>
          <w:lang w:val="fr-FR"/>
        </w:rPr>
        <w:t>’</w:t>
      </w:r>
      <w:r w:rsidRPr="00915031">
        <w:rPr>
          <w:lang w:val="fr-FR"/>
        </w:rPr>
        <w:t>aucun dédommagement n</w:t>
      </w:r>
      <w:r w:rsidR="00915031" w:rsidRPr="00915031">
        <w:rPr>
          <w:lang w:val="fr-FR"/>
        </w:rPr>
        <w:t>’</w:t>
      </w:r>
      <w:r w:rsidRPr="00915031">
        <w:rPr>
          <w:lang w:val="fr-FR"/>
        </w:rPr>
        <w:t>était dû aux requérants au motif que l</w:t>
      </w:r>
      <w:r w:rsidR="00915031" w:rsidRPr="00915031">
        <w:rPr>
          <w:lang w:val="fr-FR"/>
        </w:rPr>
        <w:t>’</w:t>
      </w:r>
      <w:r w:rsidRPr="00915031">
        <w:rPr>
          <w:lang w:val="fr-FR"/>
        </w:rPr>
        <w:t>action en dommages-intérêts était soumise à un délai de prescription de cinq ans commençant à courir en l</w:t>
      </w:r>
      <w:r w:rsidR="00915031" w:rsidRPr="00915031">
        <w:rPr>
          <w:lang w:val="fr-FR"/>
        </w:rPr>
        <w:t>’</w:t>
      </w:r>
      <w:r w:rsidRPr="00915031">
        <w:rPr>
          <w:lang w:val="fr-FR"/>
        </w:rPr>
        <w:t>espèce à compter du 18 juin 1985.</w:t>
      </w:r>
    </w:p>
    <w:p w:rsidR="00117E52" w:rsidRPr="00915031" w:rsidRDefault="00117E52" w:rsidP="00915031">
      <w:pPr>
        <w:pStyle w:val="ECHRPara"/>
        <w:rPr>
          <w:lang w:val="fr-FR"/>
        </w:rPr>
      </w:pPr>
      <w:r w:rsidRPr="00915031">
        <w:rPr>
          <w:lang w:val="fr-FR"/>
        </w:rPr>
        <w:fldChar w:fldCharType="begin"/>
      </w:r>
      <w:r w:rsidRPr="00915031">
        <w:rPr>
          <w:lang w:val="fr-FR"/>
        </w:rPr>
        <w:instrText xml:space="preserve"> SEQ level0 \*arabic </w:instrText>
      </w:r>
      <w:r w:rsidRPr="00915031">
        <w:rPr>
          <w:lang w:val="fr-FR"/>
        </w:rPr>
        <w:fldChar w:fldCharType="separate"/>
      </w:r>
      <w:r w:rsidR="00915031" w:rsidRPr="00915031">
        <w:rPr>
          <w:noProof/>
          <w:lang w:val="fr-FR"/>
        </w:rPr>
        <w:t>12</w:t>
      </w:r>
      <w:r w:rsidRPr="00915031">
        <w:rPr>
          <w:lang w:val="fr-FR"/>
        </w:rPr>
        <w:fldChar w:fldCharType="end"/>
      </w:r>
      <w:r w:rsidRPr="00915031">
        <w:rPr>
          <w:lang w:val="fr-FR"/>
        </w:rPr>
        <w:t>.  Par un acte notifié le 27 février 1998, les requérants saisirent la cour d</w:t>
      </w:r>
      <w:r w:rsidR="00915031" w:rsidRPr="00915031">
        <w:rPr>
          <w:lang w:val="fr-FR"/>
        </w:rPr>
        <w:t>’</w:t>
      </w:r>
      <w:r w:rsidRPr="00915031">
        <w:rPr>
          <w:lang w:val="fr-FR"/>
        </w:rPr>
        <w:t>appel de Palerme.</w:t>
      </w:r>
    </w:p>
    <w:p w:rsidR="00117E52" w:rsidRPr="00915031" w:rsidRDefault="00117E52" w:rsidP="00915031">
      <w:pPr>
        <w:pStyle w:val="ECHRPara"/>
        <w:rPr>
          <w:lang w:val="fr-FR"/>
        </w:rPr>
      </w:pPr>
      <w:r w:rsidRPr="00915031">
        <w:rPr>
          <w:lang w:val="fr-FR"/>
        </w:rPr>
        <w:fldChar w:fldCharType="begin"/>
      </w:r>
      <w:r w:rsidRPr="00915031">
        <w:rPr>
          <w:lang w:val="fr-FR"/>
        </w:rPr>
        <w:instrText xml:space="preserve"> SEQ level0 \*arabic </w:instrText>
      </w:r>
      <w:r w:rsidRPr="00915031">
        <w:rPr>
          <w:lang w:val="fr-FR"/>
        </w:rPr>
        <w:fldChar w:fldCharType="separate"/>
      </w:r>
      <w:r w:rsidR="00915031" w:rsidRPr="00915031">
        <w:rPr>
          <w:noProof/>
          <w:lang w:val="fr-FR"/>
        </w:rPr>
        <w:t>13</w:t>
      </w:r>
      <w:r w:rsidRPr="00915031">
        <w:rPr>
          <w:lang w:val="fr-FR"/>
        </w:rPr>
        <w:fldChar w:fldCharType="end"/>
      </w:r>
      <w:r w:rsidRPr="00915031">
        <w:rPr>
          <w:lang w:val="fr-FR"/>
        </w:rPr>
        <w:t>.  Au cours de la procédure, la cour d</w:t>
      </w:r>
      <w:r w:rsidR="00915031" w:rsidRPr="00915031">
        <w:rPr>
          <w:lang w:val="fr-FR"/>
        </w:rPr>
        <w:t>’</w:t>
      </w:r>
      <w:r w:rsidRPr="00915031">
        <w:rPr>
          <w:lang w:val="fr-FR"/>
        </w:rPr>
        <w:t>appel ordonna une expertise. Selon l</w:t>
      </w:r>
      <w:r w:rsidR="00915031" w:rsidRPr="00915031">
        <w:rPr>
          <w:lang w:val="fr-FR"/>
        </w:rPr>
        <w:t>’</w:t>
      </w:r>
      <w:r w:rsidRPr="00915031">
        <w:rPr>
          <w:lang w:val="fr-FR"/>
        </w:rPr>
        <w:t>expert, l</w:t>
      </w:r>
      <w:r w:rsidR="00915031" w:rsidRPr="00915031">
        <w:rPr>
          <w:lang w:val="fr-FR"/>
        </w:rPr>
        <w:t>’</w:t>
      </w:r>
      <w:r w:rsidRPr="00915031">
        <w:rPr>
          <w:lang w:val="fr-FR"/>
        </w:rPr>
        <w:t>occupation légitime avait pris fin le 18 juin 1986</w:t>
      </w:r>
      <w:r w:rsidR="00AA2AA4" w:rsidRPr="00915031">
        <w:rPr>
          <w:lang w:val="fr-FR"/>
        </w:rPr>
        <w:t xml:space="preserve">, </w:t>
      </w:r>
      <w:r w:rsidR="00253FB7" w:rsidRPr="00915031">
        <w:rPr>
          <w:lang w:val="fr-FR"/>
        </w:rPr>
        <w:t>suite à l</w:t>
      </w:r>
      <w:r w:rsidR="00915031" w:rsidRPr="00915031">
        <w:rPr>
          <w:lang w:val="fr-FR"/>
        </w:rPr>
        <w:t>’</w:t>
      </w:r>
      <w:r w:rsidR="00253FB7" w:rsidRPr="00915031">
        <w:rPr>
          <w:lang w:val="fr-FR"/>
        </w:rPr>
        <w:t>application d</w:t>
      </w:r>
      <w:r w:rsidR="00915031" w:rsidRPr="00915031">
        <w:rPr>
          <w:lang w:val="fr-FR"/>
        </w:rPr>
        <w:t>’</w:t>
      </w:r>
      <w:r w:rsidR="00253FB7" w:rsidRPr="00915031">
        <w:rPr>
          <w:lang w:val="fr-FR"/>
        </w:rPr>
        <w:t>une prorogation d</w:t>
      </w:r>
      <w:r w:rsidR="00915031" w:rsidRPr="00915031">
        <w:rPr>
          <w:lang w:val="fr-FR"/>
        </w:rPr>
        <w:t>’</w:t>
      </w:r>
      <w:r w:rsidR="00253FB7" w:rsidRPr="00915031">
        <w:rPr>
          <w:lang w:val="fr-FR"/>
        </w:rPr>
        <w:t>un an.</w:t>
      </w:r>
      <w:r w:rsidRPr="00915031">
        <w:rPr>
          <w:lang w:val="fr-FR"/>
        </w:rPr>
        <w:t xml:space="preserve"> </w:t>
      </w:r>
      <w:r w:rsidR="00253FB7" w:rsidRPr="00915031">
        <w:rPr>
          <w:lang w:val="fr-FR"/>
        </w:rPr>
        <w:t>L</w:t>
      </w:r>
      <w:r w:rsidRPr="00915031">
        <w:rPr>
          <w:lang w:val="fr-FR"/>
        </w:rPr>
        <w:t>a valeur vénale du terrain à cette date était de 45,45 euros (EUR) le mètre carré (soit 167 710,50 EUR).</w:t>
      </w:r>
    </w:p>
    <w:p w:rsidR="001B34C8" w:rsidRPr="00915031" w:rsidRDefault="00117E52" w:rsidP="00915031">
      <w:pPr>
        <w:pStyle w:val="ECHRPara"/>
        <w:rPr>
          <w:lang w:val="fr-FR"/>
        </w:rPr>
      </w:pPr>
      <w:r w:rsidRPr="00915031">
        <w:rPr>
          <w:lang w:val="fr-FR"/>
        </w:rPr>
        <w:fldChar w:fldCharType="begin"/>
      </w:r>
      <w:r w:rsidRPr="00915031">
        <w:rPr>
          <w:lang w:val="fr-FR"/>
        </w:rPr>
        <w:instrText xml:space="preserve"> SEQ level0 \*arabic </w:instrText>
      </w:r>
      <w:r w:rsidRPr="00915031">
        <w:rPr>
          <w:lang w:val="fr-FR"/>
        </w:rPr>
        <w:fldChar w:fldCharType="separate"/>
      </w:r>
      <w:r w:rsidR="00915031" w:rsidRPr="00915031">
        <w:rPr>
          <w:noProof/>
          <w:lang w:val="fr-FR"/>
        </w:rPr>
        <w:t>14</w:t>
      </w:r>
      <w:r w:rsidRPr="00915031">
        <w:rPr>
          <w:lang w:val="fr-FR"/>
        </w:rPr>
        <w:fldChar w:fldCharType="end"/>
      </w:r>
      <w:r w:rsidRPr="00915031">
        <w:rPr>
          <w:lang w:val="fr-FR"/>
        </w:rPr>
        <w:t>.  Par un arrêt du 11 octobre 2002, la cour d</w:t>
      </w:r>
      <w:r w:rsidR="00915031" w:rsidRPr="00915031">
        <w:rPr>
          <w:lang w:val="fr-FR"/>
        </w:rPr>
        <w:t>’</w:t>
      </w:r>
      <w:r w:rsidRPr="00915031">
        <w:rPr>
          <w:lang w:val="fr-FR"/>
        </w:rPr>
        <w:t>appel</w:t>
      </w:r>
      <w:r w:rsidR="002237CF" w:rsidRPr="00915031">
        <w:rPr>
          <w:lang w:val="fr-FR"/>
        </w:rPr>
        <w:t xml:space="preserve"> de Palerme</w:t>
      </w:r>
      <w:r w:rsidRPr="00915031">
        <w:rPr>
          <w:lang w:val="fr-FR"/>
        </w:rPr>
        <w:t xml:space="preserve"> </w:t>
      </w:r>
      <w:r w:rsidR="00BB6695" w:rsidRPr="00915031">
        <w:rPr>
          <w:lang w:val="fr-FR"/>
        </w:rPr>
        <w:t>releva</w:t>
      </w:r>
      <w:r w:rsidR="00D37294" w:rsidRPr="00915031">
        <w:rPr>
          <w:lang w:val="fr-FR"/>
        </w:rPr>
        <w:t xml:space="preserve"> </w:t>
      </w:r>
      <w:r w:rsidRPr="00915031">
        <w:rPr>
          <w:lang w:val="fr-FR"/>
        </w:rPr>
        <w:t>que l</w:t>
      </w:r>
      <w:r w:rsidR="00915031" w:rsidRPr="00915031">
        <w:rPr>
          <w:lang w:val="fr-FR"/>
        </w:rPr>
        <w:t>’</w:t>
      </w:r>
      <w:r w:rsidRPr="00915031">
        <w:rPr>
          <w:lang w:val="fr-FR"/>
        </w:rPr>
        <w:t>occupation légitime avait pris fin le 18 juin 1986 et</w:t>
      </w:r>
      <w:r w:rsidR="00D37294" w:rsidRPr="00915031">
        <w:rPr>
          <w:lang w:val="fr-FR"/>
        </w:rPr>
        <w:t xml:space="preserve"> considéra les requérants privés de leur bien à compter de cette date. Elle considéra</w:t>
      </w:r>
      <w:r w:rsidR="00336635" w:rsidRPr="00915031">
        <w:rPr>
          <w:lang w:val="fr-FR"/>
        </w:rPr>
        <w:t xml:space="preserve"> également</w:t>
      </w:r>
      <w:r w:rsidRPr="00915031">
        <w:rPr>
          <w:lang w:val="fr-FR"/>
        </w:rPr>
        <w:t xml:space="preserve"> que le délai de prescription de cinq ans avait commencé à courir à partir </w:t>
      </w:r>
      <w:r w:rsidR="00034991" w:rsidRPr="00915031">
        <w:rPr>
          <w:lang w:val="fr-FR"/>
        </w:rPr>
        <w:t>de cette même date</w:t>
      </w:r>
      <w:r w:rsidRPr="00915031">
        <w:rPr>
          <w:lang w:val="fr-FR"/>
        </w:rPr>
        <w:t>. Le recours ayant été introduit le 11 janvier 1991, elle estima que le droit des intéressés n</w:t>
      </w:r>
      <w:r w:rsidR="00915031" w:rsidRPr="00915031">
        <w:rPr>
          <w:lang w:val="fr-FR"/>
        </w:rPr>
        <w:t>’</w:t>
      </w:r>
      <w:r w:rsidRPr="00915031">
        <w:rPr>
          <w:lang w:val="fr-FR"/>
        </w:rPr>
        <w:t>était pas prescrit.</w:t>
      </w:r>
    </w:p>
    <w:p w:rsidR="00117E52" w:rsidRPr="00915031" w:rsidRDefault="00117E52" w:rsidP="00915031">
      <w:pPr>
        <w:pStyle w:val="ECHRPara"/>
        <w:rPr>
          <w:lang w:val="fr-FR"/>
        </w:rPr>
      </w:pPr>
      <w:r w:rsidRPr="00915031">
        <w:rPr>
          <w:lang w:val="fr-FR"/>
        </w:rPr>
        <w:fldChar w:fldCharType="begin"/>
      </w:r>
      <w:r w:rsidRPr="00915031">
        <w:rPr>
          <w:lang w:val="fr-FR"/>
        </w:rPr>
        <w:instrText xml:space="preserve"> SEQ level0 \*arabic </w:instrText>
      </w:r>
      <w:r w:rsidRPr="00915031">
        <w:rPr>
          <w:lang w:val="fr-FR"/>
        </w:rPr>
        <w:fldChar w:fldCharType="separate"/>
      </w:r>
      <w:r w:rsidR="00915031" w:rsidRPr="00915031">
        <w:rPr>
          <w:noProof/>
          <w:lang w:val="fr-FR"/>
        </w:rPr>
        <w:t>15</w:t>
      </w:r>
      <w:r w:rsidRPr="00915031">
        <w:rPr>
          <w:lang w:val="fr-FR"/>
        </w:rPr>
        <w:fldChar w:fldCharType="end"/>
      </w:r>
      <w:r w:rsidRPr="00915031">
        <w:rPr>
          <w:lang w:val="fr-FR"/>
        </w:rPr>
        <w:t>.  Par conséquent, en application de la loi n</w:t>
      </w:r>
      <w:r w:rsidRPr="00915031">
        <w:rPr>
          <w:vertAlign w:val="superscript"/>
          <w:lang w:val="fr-FR"/>
        </w:rPr>
        <w:t>o</w:t>
      </w:r>
      <w:r w:rsidRPr="00915031">
        <w:rPr>
          <w:lang w:val="fr-FR"/>
        </w:rPr>
        <w:t xml:space="preserve"> 662 de 1996, elle condamna la municipalité de </w:t>
      </w:r>
      <w:proofErr w:type="spellStart"/>
      <w:r w:rsidRPr="00915031">
        <w:rPr>
          <w:lang w:val="fr-FR"/>
        </w:rPr>
        <w:t>Canicattí</w:t>
      </w:r>
      <w:proofErr w:type="spellEnd"/>
      <w:r w:rsidRPr="00915031">
        <w:rPr>
          <w:lang w:val="fr-FR"/>
        </w:rPr>
        <w:t xml:space="preserve"> et l</w:t>
      </w:r>
      <w:r w:rsidR="00915031" w:rsidRPr="00915031">
        <w:rPr>
          <w:lang w:val="fr-FR"/>
        </w:rPr>
        <w:t>’</w:t>
      </w:r>
      <w:r w:rsidRPr="00915031">
        <w:rPr>
          <w:lang w:val="fr-FR"/>
        </w:rPr>
        <w:t xml:space="preserve">IACP à verser aux requérants la somme de 92 316,67 EUR pour la perte de la propriété du terrain, plus </w:t>
      </w:r>
      <w:r w:rsidRPr="00915031">
        <w:rPr>
          <w:lang w:val="fr-FR"/>
        </w:rPr>
        <w:lastRenderedPageBreak/>
        <w:t>réévaluation jusqu</w:t>
      </w:r>
      <w:r w:rsidR="00915031" w:rsidRPr="00915031">
        <w:rPr>
          <w:lang w:val="fr-FR"/>
        </w:rPr>
        <w:t>’</w:t>
      </w:r>
      <w:r w:rsidRPr="00915031">
        <w:rPr>
          <w:lang w:val="fr-FR"/>
        </w:rPr>
        <w:t>à la date de l</w:t>
      </w:r>
      <w:r w:rsidR="00915031" w:rsidRPr="00915031">
        <w:rPr>
          <w:lang w:val="fr-FR"/>
        </w:rPr>
        <w:t>’</w:t>
      </w:r>
      <w:r w:rsidRPr="00915031">
        <w:rPr>
          <w:lang w:val="fr-FR"/>
        </w:rPr>
        <w:t>arrêt, ainsi que 25 177,27 EUR à titre d</w:t>
      </w:r>
      <w:r w:rsidR="00915031" w:rsidRPr="00915031">
        <w:rPr>
          <w:lang w:val="fr-FR"/>
        </w:rPr>
        <w:t>’</w:t>
      </w:r>
      <w:r w:rsidRPr="00915031">
        <w:rPr>
          <w:lang w:val="fr-FR"/>
        </w:rPr>
        <w:t>indemnité d</w:t>
      </w:r>
      <w:r w:rsidR="00915031" w:rsidRPr="00915031">
        <w:rPr>
          <w:lang w:val="fr-FR"/>
        </w:rPr>
        <w:t>’</w:t>
      </w:r>
      <w:r w:rsidRPr="00915031">
        <w:rPr>
          <w:lang w:val="fr-FR"/>
        </w:rPr>
        <w:t>occupation temporaire.</w:t>
      </w:r>
    </w:p>
    <w:p w:rsidR="00117E52" w:rsidRPr="00915031" w:rsidRDefault="00117E52" w:rsidP="00915031">
      <w:pPr>
        <w:pStyle w:val="ECHRPara"/>
        <w:rPr>
          <w:lang w:val="fr-FR"/>
        </w:rPr>
      </w:pPr>
      <w:r w:rsidRPr="00915031">
        <w:rPr>
          <w:lang w:val="fr-FR"/>
        </w:rPr>
        <w:fldChar w:fldCharType="begin"/>
      </w:r>
      <w:r w:rsidRPr="00915031">
        <w:rPr>
          <w:lang w:val="fr-FR"/>
        </w:rPr>
        <w:instrText xml:space="preserve"> SEQ level0 \*arabic </w:instrText>
      </w:r>
      <w:r w:rsidRPr="00915031">
        <w:rPr>
          <w:lang w:val="fr-FR"/>
        </w:rPr>
        <w:fldChar w:fldCharType="separate"/>
      </w:r>
      <w:r w:rsidR="00915031" w:rsidRPr="00915031">
        <w:rPr>
          <w:noProof/>
          <w:lang w:val="fr-FR"/>
        </w:rPr>
        <w:t>16</w:t>
      </w:r>
      <w:r w:rsidRPr="00915031">
        <w:rPr>
          <w:lang w:val="fr-FR"/>
        </w:rPr>
        <w:fldChar w:fldCharType="end"/>
      </w:r>
      <w:r w:rsidRPr="00915031">
        <w:rPr>
          <w:lang w:val="fr-FR"/>
        </w:rPr>
        <w:t>.  Cet arrêt est devenu définitif le 12 janvier 2004.</w:t>
      </w:r>
    </w:p>
    <w:p w:rsidR="00E77CB3" w:rsidRPr="00915031" w:rsidRDefault="00E77CB3" w:rsidP="00915031">
      <w:pPr>
        <w:pStyle w:val="ECHRHeading1"/>
        <w:rPr>
          <w:lang w:val="fr-FR"/>
        </w:rPr>
      </w:pPr>
      <w:r w:rsidRPr="00915031">
        <w:rPr>
          <w:lang w:val="fr-FR"/>
        </w:rPr>
        <w:t>II.</w:t>
      </w:r>
      <w:proofErr w:type="gramStart"/>
      <w:r w:rsidRPr="00915031">
        <w:rPr>
          <w:lang w:val="fr-FR"/>
        </w:rPr>
        <w:t>  LE</w:t>
      </w:r>
      <w:proofErr w:type="gramEnd"/>
      <w:r w:rsidRPr="00915031">
        <w:rPr>
          <w:lang w:val="fr-FR"/>
        </w:rPr>
        <w:t xml:space="preserve"> DROIT ET LA PRATIQUE INTERNES PERTINENTS</w:t>
      </w:r>
    </w:p>
    <w:p w:rsidR="009F51E3" w:rsidRPr="00915031" w:rsidRDefault="009F51E3" w:rsidP="00915031">
      <w:pPr>
        <w:pStyle w:val="ECHRHeading2"/>
        <w:rPr>
          <w:lang w:val="fr-FR"/>
        </w:rPr>
      </w:pPr>
      <w:r w:rsidRPr="00915031">
        <w:rPr>
          <w:lang w:val="fr-FR"/>
        </w:rPr>
        <w:t>A.</w:t>
      </w:r>
      <w:proofErr w:type="gramStart"/>
      <w:r w:rsidR="004A6FF3" w:rsidRPr="00915031">
        <w:rPr>
          <w:lang w:val="fr-FR"/>
        </w:rPr>
        <w:t>  </w:t>
      </w:r>
      <w:r w:rsidRPr="00915031">
        <w:rPr>
          <w:lang w:val="fr-FR"/>
        </w:rPr>
        <w:t>Le</w:t>
      </w:r>
      <w:proofErr w:type="gramEnd"/>
      <w:r w:rsidRPr="00915031">
        <w:rPr>
          <w:lang w:val="fr-FR"/>
        </w:rPr>
        <w:t xml:space="preserve"> principe de l</w:t>
      </w:r>
      <w:r w:rsidR="00915031" w:rsidRPr="00915031">
        <w:rPr>
          <w:lang w:val="fr-FR"/>
        </w:rPr>
        <w:t>’</w:t>
      </w:r>
      <w:r w:rsidRPr="00915031">
        <w:rPr>
          <w:lang w:val="fr-FR"/>
        </w:rPr>
        <w:t>expropriation indirecte («</w:t>
      </w:r>
      <w:r w:rsidR="003D1DD7" w:rsidRPr="00915031">
        <w:rPr>
          <w:lang w:val="fr-FR"/>
        </w:rPr>
        <w:t> </w:t>
      </w:r>
      <w:proofErr w:type="spellStart"/>
      <w:r w:rsidRPr="00915031">
        <w:rPr>
          <w:lang w:val="fr-FR"/>
        </w:rPr>
        <w:t>occupazione</w:t>
      </w:r>
      <w:proofErr w:type="spellEnd"/>
      <w:r w:rsidRPr="00915031">
        <w:rPr>
          <w:lang w:val="fr-FR"/>
        </w:rPr>
        <w:t xml:space="preserve"> </w:t>
      </w:r>
      <w:proofErr w:type="spellStart"/>
      <w:r w:rsidRPr="00915031">
        <w:rPr>
          <w:lang w:val="fr-FR"/>
        </w:rPr>
        <w:t>acquisitiva</w:t>
      </w:r>
      <w:proofErr w:type="spellEnd"/>
      <w:r w:rsidRPr="00915031">
        <w:rPr>
          <w:lang w:val="fr-FR"/>
        </w:rPr>
        <w:t> » ou «</w:t>
      </w:r>
      <w:r w:rsidR="003D1DD7" w:rsidRPr="00915031">
        <w:rPr>
          <w:lang w:val="fr-FR"/>
        </w:rPr>
        <w:t> </w:t>
      </w:r>
      <w:proofErr w:type="spellStart"/>
      <w:r w:rsidRPr="00915031">
        <w:rPr>
          <w:lang w:val="fr-FR"/>
        </w:rPr>
        <w:t>accessione</w:t>
      </w:r>
      <w:proofErr w:type="spellEnd"/>
      <w:r w:rsidRPr="00915031">
        <w:rPr>
          <w:lang w:val="fr-FR"/>
        </w:rPr>
        <w:t xml:space="preserve"> </w:t>
      </w:r>
      <w:proofErr w:type="spellStart"/>
      <w:r w:rsidRPr="00915031">
        <w:rPr>
          <w:lang w:val="fr-FR"/>
        </w:rPr>
        <w:t>invertita</w:t>
      </w:r>
      <w:proofErr w:type="spellEnd"/>
      <w:r w:rsidR="003D1DD7" w:rsidRPr="00915031">
        <w:rPr>
          <w:lang w:val="fr-FR"/>
        </w:rPr>
        <w:t> </w:t>
      </w:r>
      <w:r w:rsidRPr="00915031">
        <w:rPr>
          <w:lang w:val="fr-FR"/>
        </w:rPr>
        <w:t>»)</w:t>
      </w:r>
    </w:p>
    <w:p w:rsidR="009F51E3" w:rsidRPr="00915031" w:rsidRDefault="00337019" w:rsidP="00915031">
      <w:pPr>
        <w:pStyle w:val="ECHRPara"/>
        <w:rPr>
          <w:lang w:val="fr-FR"/>
        </w:rPr>
      </w:pPr>
      <w:r w:rsidRPr="00915031">
        <w:rPr>
          <w:lang w:val="fr-FR"/>
        </w:rPr>
        <w:fldChar w:fldCharType="begin"/>
      </w:r>
      <w:r w:rsidRPr="00915031">
        <w:rPr>
          <w:lang w:val="fr-FR"/>
        </w:rPr>
        <w:instrText xml:space="preserve"> SEQ level0 \*arabic </w:instrText>
      </w:r>
      <w:r w:rsidRPr="00915031">
        <w:rPr>
          <w:lang w:val="fr-FR"/>
        </w:rPr>
        <w:fldChar w:fldCharType="separate"/>
      </w:r>
      <w:r w:rsidR="00915031" w:rsidRPr="00915031">
        <w:rPr>
          <w:noProof/>
          <w:lang w:val="fr-FR"/>
        </w:rPr>
        <w:t>17</w:t>
      </w:r>
      <w:r w:rsidRPr="00915031">
        <w:rPr>
          <w:lang w:val="fr-FR"/>
        </w:rPr>
        <w:fldChar w:fldCharType="end"/>
      </w:r>
      <w:r w:rsidRPr="00915031">
        <w:rPr>
          <w:lang w:val="fr-FR"/>
        </w:rPr>
        <w:t>.  </w:t>
      </w:r>
      <w:r w:rsidR="009F51E3" w:rsidRPr="00915031">
        <w:rPr>
          <w:lang w:val="fr-FR"/>
        </w:rPr>
        <w:t>Le droit interne pertinent relatif à l</w:t>
      </w:r>
      <w:r w:rsidR="00915031" w:rsidRPr="00915031">
        <w:rPr>
          <w:lang w:val="fr-FR"/>
        </w:rPr>
        <w:t>’</w:t>
      </w:r>
      <w:r w:rsidR="009F51E3" w:rsidRPr="00915031">
        <w:rPr>
          <w:lang w:val="fr-FR"/>
        </w:rPr>
        <w:t>expropriation indirecte se trouve décrit dans l</w:t>
      </w:r>
      <w:r w:rsidR="00915031" w:rsidRPr="00915031">
        <w:rPr>
          <w:lang w:val="fr-FR"/>
        </w:rPr>
        <w:t>’</w:t>
      </w:r>
      <w:r w:rsidR="009F51E3" w:rsidRPr="00915031">
        <w:rPr>
          <w:lang w:val="fr-FR"/>
        </w:rPr>
        <w:t>arrêt</w:t>
      </w:r>
      <w:r w:rsidR="009F51E3" w:rsidRPr="00915031">
        <w:rPr>
          <w:i/>
          <w:lang w:val="fr-FR"/>
        </w:rPr>
        <w:t xml:space="preserve"> </w:t>
      </w:r>
      <w:proofErr w:type="spellStart"/>
      <w:r w:rsidR="009F51E3" w:rsidRPr="00915031">
        <w:rPr>
          <w:i/>
          <w:lang w:val="fr-FR"/>
        </w:rPr>
        <w:t>Guiso-Gallisay</w:t>
      </w:r>
      <w:proofErr w:type="spellEnd"/>
      <w:r w:rsidR="009F51E3" w:rsidRPr="00915031">
        <w:rPr>
          <w:i/>
          <w:lang w:val="fr-FR"/>
        </w:rPr>
        <w:t xml:space="preserve"> c. Italie </w:t>
      </w:r>
      <w:r w:rsidR="009F51E3" w:rsidRPr="00915031">
        <w:rPr>
          <w:lang w:val="fr-FR"/>
        </w:rPr>
        <w:t>(satisfaction équitable) [GC], §§ 18-48 n</w:t>
      </w:r>
      <w:r w:rsidR="009F51E3" w:rsidRPr="00915031">
        <w:rPr>
          <w:vertAlign w:val="superscript"/>
          <w:lang w:val="fr-FR"/>
        </w:rPr>
        <w:t>o</w:t>
      </w:r>
      <w:r w:rsidR="009F51E3" w:rsidRPr="00915031">
        <w:rPr>
          <w:lang w:val="fr-FR"/>
        </w:rPr>
        <w:t> 58858/00, 22 décembre 2009.</w:t>
      </w:r>
    </w:p>
    <w:p w:rsidR="009F51E3" w:rsidRPr="00915031" w:rsidRDefault="009F51E3" w:rsidP="00915031">
      <w:pPr>
        <w:pStyle w:val="ECHRHeading2"/>
        <w:rPr>
          <w:lang w:val="fr-FR"/>
        </w:rPr>
      </w:pPr>
      <w:r w:rsidRPr="00915031">
        <w:rPr>
          <w:lang w:val="fr-FR"/>
        </w:rPr>
        <w:t>B.</w:t>
      </w:r>
      <w:proofErr w:type="gramStart"/>
      <w:r w:rsidR="004A6FF3" w:rsidRPr="00915031">
        <w:rPr>
          <w:lang w:val="fr-FR"/>
        </w:rPr>
        <w:t>  </w:t>
      </w:r>
      <w:r w:rsidRPr="00915031">
        <w:rPr>
          <w:lang w:val="fr-FR"/>
        </w:rPr>
        <w:t>Les</w:t>
      </w:r>
      <w:proofErr w:type="gramEnd"/>
      <w:r w:rsidRPr="00915031">
        <w:rPr>
          <w:lang w:val="fr-FR"/>
        </w:rPr>
        <w:t xml:space="preserve"> arrêts de la Cour constitutionnelle n</w:t>
      </w:r>
      <w:r w:rsidRPr="00915031">
        <w:rPr>
          <w:vertAlign w:val="superscript"/>
          <w:lang w:val="fr-FR"/>
        </w:rPr>
        <w:t>os</w:t>
      </w:r>
      <w:r w:rsidRPr="00915031">
        <w:rPr>
          <w:lang w:val="fr-FR"/>
        </w:rPr>
        <w:t xml:space="preserve"> 348 et 349 du 22</w:t>
      </w:r>
      <w:r w:rsidR="004A6FF3" w:rsidRPr="00915031">
        <w:rPr>
          <w:lang w:val="fr-FR"/>
        </w:rPr>
        <w:t> </w:t>
      </w:r>
      <w:r w:rsidRPr="00915031">
        <w:rPr>
          <w:lang w:val="fr-FR"/>
        </w:rPr>
        <w:t xml:space="preserve"> octobre 2007</w:t>
      </w:r>
    </w:p>
    <w:p w:rsidR="009F51E3" w:rsidRPr="00915031" w:rsidRDefault="00344B6F" w:rsidP="00915031">
      <w:pPr>
        <w:pStyle w:val="ECHRPara"/>
        <w:rPr>
          <w:lang w:val="fr-FR"/>
        </w:rPr>
      </w:pPr>
      <w:r w:rsidRPr="00915031">
        <w:rPr>
          <w:lang w:val="fr-FR"/>
        </w:rPr>
        <w:fldChar w:fldCharType="begin"/>
      </w:r>
      <w:r w:rsidRPr="00915031">
        <w:rPr>
          <w:lang w:val="fr-FR"/>
        </w:rPr>
        <w:instrText xml:space="preserve"> SEQ level0 \*arabic </w:instrText>
      </w:r>
      <w:r w:rsidRPr="00915031">
        <w:rPr>
          <w:lang w:val="fr-FR"/>
        </w:rPr>
        <w:fldChar w:fldCharType="separate"/>
      </w:r>
      <w:r w:rsidR="00915031" w:rsidRPr="00915031">
        <w:rPr>
          <w:noProof/>
          <w:lang w:val="fr-FR"/>
        </w:rPr>
        <w:t>18</w:t>
      </w:r>
      <w:r w:rsidRPr="00915031">
        <w:rPr>
          <w:lang w:val="fr-FR"/>
        </w:rPr>
        <w:fldChar w:fldCharType="end"/>
      </w:r>
      <w:r w:rsidRPr="00915031">
        <w:rPr>
          <w:lang w:val="fr-FR"/>
        </w:rPr>
        <w:t>.  </w:t>
      </w:r>
      <w:r w:rsidR="009F51E3" w:rsidRPr="00915031">
        <w:rPr>
          <w:lang w:val="fr-FR"/>
        </w:rPr>
        <w:t>Par les arrêts n</w:t>
      </w:r>
      <w:r w:rsidR="009F51E3" w:rsidRPr="00915031">
        <w:rPr>
          <w:vertAlign w:val="superscript"/>
          <w:lang w:val="fr-FR"/>
        </w:rPr>
        <w:t>os</w:t>
      </w:r>
      <w:r w:rsidR="009F51E3" w:rsidRPr="00915031">
        <w:rPr>
          <w:lang w:val="fr-FR"/>
        </w:rPr>
        <w:t xml:space="preserve"> 348 et 349 du 22 octobre 2007 (dits également les « arrêts jumeaux » – </w:t>
      </w:r>
      <w:proofErr w:type="spellStart"/>
      <w:r w:rsidR="009F51E3" w:rsidRPr="00915031">
        <w:rPr>
          <w:i/>
          <w:lang w:val="fr-FR"/>
        </w:rPr>
        <w:t>sentenze</w:t>
      </w:r>
      <w:proofErr w:type="spellEnd"/>
      <w:r w:rsidR="009F51E3" w:rsidRPr="00915031">
        <w:rPr>
          <w:i/>
          <w:lang w:val="fr-FR"/>
        </w:rPr>
        <w:t xml:space="preserve"> </w:t>
      </w:r>
      <w:proofErr w:type="spellStart"/>
      <w:r w:rsidR="009F51E3" w:rsidRPr="00915031">
        <w:rPr>
          <w:i/>
          <w:lang w:val="fr-FR"/>
        </w:rPr>
        <w:t>gemelle</w:t>
      </w:r>
      <w:proofErr w:type="spellEnd"/>
      <w:r w:rsidR="009F51E3" w:rsidRPr="00915031">
        <w:rPr>
          <w:lang w:val="fr-FR"/>
        </w:rPr>
        <w:t xml:space="preserve">) la Cour constitutionnelle </w:t>
      </w:r>
      <w:r w:rsidR="00927EC0" w:rsidRPr="00915031">
        <w:rPr>
          <w:lang w:val="fr-FR"/>
        </w:rPr>
        <w:t>a déclaré inconstitutionnelles certaines dispositions en matière d</w:t>
      </w:r>
      <w:r w:rsidR="00915031" w:rsidRPr="00915031">
        <w:rPr>
          <w:lang w:val="fr-FR"/>
        </w:rPr>
        <w:t>’</w:t>
      </w:r>
      <w:r w:rsidR="00927EC0" w:rsidRPr="00915031">
        <w:rPr>
          <w:lang w:val="fr-FR"/>
        </w:rPr>
        <w:t>indemnité d</w:t>
      </w:r>
      <w:r w:rsidR="00915031" w:rsidRPr="00915031">
        <w:rPr>
          <w:lang w:val="fr-FR"/>
        </w:rPr>
        <w:t>’</w:t>
      </w:r>
      <w:r w:rsidR="00927EC0" w:rsidRPr="00915031">
        <w:rPr>
          <w:lang w:val="fr-FR"/>
        </w:rPr>
        <w:t>expropriation contenues dans le décret-loi n</w:t>
      </w:r>
      <w:r w:rsidR="00927EC0" w:rsidRPr="00915031">
        <w:rPr>
          <w:vertAlign w:val="superscript"/>
          <w:lang w:val="fr-FR"/>
        </w:rPr>
        <w:t>o</w:t>
      </w:r>
      <w:r w:rsidR="00927EC0" w:rsidRPr="00915031">
        <w:rPr>
          <w:lang w:val="fr-FR"/>
        </w:rPr>
        <w:t> 333 du 11 juillet 1992, dans la loi n</w:t>
      </w:r>
      <w:r w:rsidR="00927EC0" w:rsidRPr="00915031">
        <w:rPr>
          <w:vertAlign w:val="superscript"/>
          <w:lang w:val="fr-FR"/>
        </w:rPr>
        <w:t>o </w:t>
      </w:r>
      <w:r w:rsidR="00927EC0" w:rsidRPr="00915031">
        <w:rPr>
          <w:lang w:val="fr-FR"/>
        </w:rPr>
        <w:t>662 de 1996 et dans le décret du président de la République n</w:t>
      </w:r>
      <w:r w:rsidR="00927EC0" w:rsidRPr="00915031">
        <w:rPr>
          <w:vertAlign w:val="superscript"/>
          <w:lang w:val="fr-FR"/>
        </w:rPr>
        <w:t>o</w:t>
      </w:r>
      <w:r w:rsidR="00927EC0" w:rsidRPr="00915031">
        <w:rPr>
          <w:lang w:val="fr-FR"/>
        </w:rPr>
        <w:t xml:space="preserve"> 327 du 8 juin 2001. En particulier, dans l</w:t>
      </w:r>
      <w:r w:rsidR="00915031" w:rsidRPr="00915031">
        <w:rPr>
          <w:lang w:val="fr-FR"/>
        </w:rPr>
        <w:t>’</w:t>
      </w:r>
      <w:r w:rsidR="00927EC0" w:rsidRPr="00915031">
        <w:rPr>
          <w:lang w:val="fr-FR"/>
        </w:rPr>
        <w:t>arrêt n</w:t>
      </w:r>
      <w:r w:rsidR="00927EC0" w:rsidRPr="00915031">
        <w:rPr>
          <w:vertAlign w:val="superscript"/>
          <w:lang w:val="fr-FR"/>
        </w:rPr>
        <w:t>o</w:t>
      </w:r>
      <w:r w:rsidR="00927EC0" w:rsidRPr="00915031">
        <w:rPr>
          <w:lang w:val="fr-FR"/>
        </w:rPr>
        <w:t xml:space="preserve"> 349 la Cour constitutionnelle a relevé que le niveau insuffisant d</w:t>
      </w:r>
      <w:r w:rsidR="00915031" w:rsidRPr="00915031">
        <w:rPr>
          <w:lang w:val="fr-FR"/>
        </w:rPr>
        <w:t>’</w:t>
      </w:r>
      <w:r w:rsidR="00927EC0" w:rsidRPr="00915031">
        <w:rPr>
          <w:lang w:val="fr-FR"/>
        </w:rPr>
        <w:t>indemnisation prévu par la loi de 1996 était contraire à l</w:t>
      </w:r>
      <w:r w:rsidR="00915031" w:rsidRPr="00915031">
        <w:rPr>
          <w:lang w:val="fr-FR"/>
        </w:rPr>
        <w:t>’</w:t>
      </w:r>
      <w:r w:rsidR="00927EC0" w:rsidRPr="00915031">
        <w:rPr>
          <w:lang w:val="fr-FR"/>
        </w:rPr>
        <w:t>article 1 du Protocole n</w:t>
      </w:r>
      <w:r w:rsidR="00927EC0" w:rsidRPr="00915031">
        <w:rPr>
          <w:vertAlign w:val="superscript"/>
          <w:lang w:val="fr-FR"/>
        </w:rPr>
        <w:t>o</w:t>
      </w:r>
      <w:r w:rsidR="00927EC0" w:rsidRPr="00915031">
        <w:rPr>
          <w:lang w:val="fr-FR"/>
        </w:rPr>
        <w:t xml:space="preserve"> 1 et par conséquent à l</w:t>
      </w:r>
      <w:r w:rsidR="00915031" w:rsidRPr="00915031">
        <w:rPr>
          <w:lang w:val="fr-FR"/>
        </w:rPr>
        <w:t>’</w:t>
      </w:r>
      <w:r w:rsidR="00927EC0" w:rsidRPr="00915031">
        <w:rPr>
          <w:lang w:val="fr-FR"/>
        </w:rPr>
        <w:t>article 117</w:t>
      </w:r>
      <w:r w:rsidR="00915031" w:rsidRPr="00915031">
        <w:rPr>
          <w:lang w:val="fr-FR"/>
        </w:rPr>
        <w:t xml:space="preserve"> </w:t>
      </w:r>
      <w:r w:rsidR="00927EC0" w:rsidRPr="00915031">
        <w:rPr>
          <w:lang w:val="fr-FR"/>
        </w:rPr>
        <w:t>§ 1 de la Constitution italienne, lequel prévoit le respect des obligations internationales.</w:t>
      </w:r>
    </w:p>
    <w:p w:rsidR="009F51E3" w:rsidRPr="00915031" w:rsidRDefault="009F51E3" w:rsidP="00915031">
      <w:pPr>
        <w:pStyle w:val="ECHRPara"/>
        <w:rPr>
          <w:lang w:val="fr-FR"/>
        </w:rPr>
      </w:pPr>
      <w:r w:rsidRPr="00915031">
        <w:fldChar w:fldCharType="begin"/>
      </w:r>
      <w:r w:rsidRPr="00915031">
        <w:rPr>
          <w:lang w:val="fr-FR"/>
        </w:rPr>
        <w:instrText xml:space="preserve"> SEQ level0 \*arabic </w:instrText>
      </w:r>
      <w:r w:rsidRPr="00915031">
        <w:fldChar w:fldCharType="separate"/>
      </w:r>
      <w:r w:rsidR="00915031" w:rsidRPr="00915031">
        <w:rPr>
          <w:noProof/>
          <w:lang w:val="fr-FR"/>
        </w:rPr>
        <w:t>19</w:t>
      </w:r>
      <w:r w:rsidRPr="00915031">
        <w:rPr>
          <w:lang w:val="fr-FR"/>
        </w:rPr>
        <w:fldChar w:fldCharType="end"/>
      </w:r>
      <w:r w:rsidRPr="00915031">
        <w:rPr>
          <w:lang w:val="fr-FR"/>
        </w:rPr>
        <w:t>.  Suite aux arrêts de la Cour constitutionnelle, des modifications législatives sont intervenues en droit interne. L</w:t>
      </w:r>
      <w:r w:rsidR="00915031" w:rsidRPr="00915031">
        <w:rPr>
          <w:lang w:val="fr-FR"/>
        </w:rPr>
        <w:t>’</w:t>
      </w:r>
      <w:r w:rsidRPr="00915031">
        <w:rPr>
          <w:lang w:val="fr-FR"/>
        </w:rPr>
        <w:t>article 2/89 e) de la loi de finances n</w:t>
      </w:r>
      <w:r w:rsidRPr="00915031">
        <w:rPr>
          <w:vertAlign w:val="superscript"/>
          <w:lang w:val="fr-FR"/>
        </w:rPr>
        <w:t>o</w:t>
      </w:r>
      <w:r w:rsidRPr="00915031">
        <w:rPr>
          <w:lang w:val="fr-FR"/>
        </w:rPr>
        <w:t xml:space="preserve"> 244 de 2007 a établi que dans un cas d</w:t>
      </w:r>
      <w:r w:rsidR="00915031" w:rsidRPr="00915031">
        <w:rPr>
          <w:lang w:val="fr-FR"/>
        </w:rPr>
        <w:t>’</w:t>
      </w:r>
      <w:r w:rsidRPr="00915031">
        <w:rPr>
          <w:lang w:val="fr-FR"/>
        </w:rPr>
        <w:t>expropriation indirecte le dédommagement doit correspondre à la valeur vénale des biens, aucune réduction n</w:t>
      </w:r>
      <w:r w:rsidR="00915031" w:rsidRPr="00915031">
        <w:rPr>
          <w:lang w:val="fr-FR"/>
        </w:rPr>
        <w:t>’</w:t>
      </w:r>
      <w:r w:rsidRPr="00915031">
        <w:rPr>
          <w:lang w:val="fr-FR"/>
        </w:rPr>
        <w:t>étant admise.</w:t>
      </w:r>
    </w:p>
    <w:p w:rsidR="009F51E3" w:rsidRPr="00915031" w:rsidRDefault="009F51E3" w:rsidP="00915031">
      <w:pPr>
        <w:pStyle w:val="ECHRPara"/>
        <w:rPr>
          <w:lang w:val="fr-FR"/>
        </w:rPr>
      </w:pPr>
      <w:r w:rsidRPr="00915031">
        <w:fldChar w:fldCharType="begin"/>
      </w:r>
      <w:r w:rsidRPr="00915031">
        <w:rPr>
          <w:lang w:val="fr-FR"/>
        </w:rPr>
        <w:instrText xml:space="preserve"> SEQ level0 \*arabic </w:instrText>
      </w:r>
      <w:r w:rsidRPr="00915031">
        <w:fldChar w:fldCharType="separate"/>
      </w:r>
      <w:r w:rsidR="00915031" w:rsidRPr="00915031">
        <w:rPr>
          <w:noProof/>
          <w:lang w:val="fr-FR"/>
        </w:rPr>
        <w:t>20</w:t>
      </w:r>
      <w:r w:rsidRPr="00915031">
        <w:rPr>
          <w:lang w:val="fr-FR"/>
        </w:rPr>
        <w:fldChar w:fldCharType="end"/>
      </w:r>
      <w:r w:rsidRPr="00915031">
        <w:rPr>
          <w:lang w:val="fr-FR"/>
        </w:rPr>
        <w:t xml:space="preserve">.  Cette disposition </w:t>
      </w:r>
      <w:r w:rsidR="00927EC0" w:rsidRPr="00915031">
        <w:rPr>
          <w:lang w:val="fr-FR"/>
        </w:rPr>
        <w:t>a été</w:t>
      </w:r>
      <w:r w:rsidRPr="00915031">
        <w:rPr>
          <w:lang w:val="fr-FR"/>
        </w:rPr>
        <w:t xml:space="preserve"> appliquée à toutes les procédures en cours au 1</w:t>
      </w:r>
      <w:r w:rsidRPr="00915031">
        <w:rPr>
          <w:vertAlign w:val="superscript"/>
          <w:lang w:val="fr-FR"/>
        </w:rPr>
        <w:t>er</w:t>
      </w:r>
      <w:r w:rsidRPr="00915031">
        <w:rPr>
          <w:lang w:val="fr-FR"/>
        </w:rPr>
        <w:t> janvier 2008, sauf celles où la décision sur l</w:t>
      </w:r>
      <w:r w:rsidR="00915031" w:rsidRPr="00915031">
        <w:rPr>
          <w:lang w:val="fr-FR"/>
        </w:rPr>
        <w:t>’</w:t>
      </w:r>
      <w:r w:rsidRPr="00915031">
        <w:rPr>
          <w:lang w:val="fr-FR"/>
        </w:rPr>
        <w:t>indemnité d</w:t>
      </w:r>
      <w:r w:rsidR="00915031" w:rsidRPr="00915031">
        <w:rPr>
          <w:lang w:val="fr-FR"/>
        </w:rPr>
        <w:t>’</w:t>
      </w:r>
      <w:r w:rsidRPr="00915031">
        <w:rPr>
          <w:lang w:val="fr-FR"/>
        </w:rPr>
        <w:t>expropriation ou sur le dédommagement avait été acceptée ou était devenue définitive.</w:t>
      </w:r>
    </w:p>
    <w:p w:rsidR="00E77CB3" w:rsidRPr="00915031" w:rsidRDefault="00E77CB3" w:rsidP="00915031">
      <w:pPr>
        <w:pStyle w:val="ECHRTitle1"/>
        <w:rPr>
          <w:lang w:val="fr-FR"/>
        </w:rPr>
      </w:pPr>
      <w:r w:rsidRPr="00915031">
        <w:rPr>
          <w:lang w:val="fr-FR"/>
        </w:rPr>
        <w:lastRenderedPageBreak/>
        <w:t>EN DROIT</w:t>
      </w:r>
    </w:p>
    <w:p w:rsidR="00D05DBA" w:rsidRPr="00915031" w:rsidRDefault="00D05DBA" w:rsidP="00915031">
      <w:pPr>
        <w:pStyle w:val="ECHRHeading1"/>
        <w:rPr>
          <w:lang w:val="fr-FR"/>
        </w:rPr>
      </w:pPr>
      <w:r w:rsidRPr="00915031">
        <w:rPr>
          <w:lang w:val="fr-FR"/>
        </w:rPr>
        <w:t>I.</w:t>
      </w:r>
      <w:proofErr w:type="gramStart"/>
      <w:r w:rsidR="00344B6F" w:rsidRPr="00915031">
        <w:rPr>
          <w:lang w:val="fr-FR"/>
        </w:rPr>
        <w:t>  </w:t>
      </w:r>
      <w:r w:rsidRPr="00915031">
        <w:rPr>
          <w:lang w:val="fr-FR"/>
        </w:rPr>
        <w:t>SUR</w:t>
      </w:r>
      <w:proofErr w:type="gramEnd"/>
      <w:r w:rsidRPr="00915031">
        <w:rPr>
          <w:lang w:val="fr-FR"/>
        </w:rPr>
        <w:t xml:space="preserve"> LA DEMANDE DE RADIATION DE LA REQU</w:t>
      </w:r>
      <w:r w:rsidR="006E4ECE" w:rsidRPr="00915031">
        <w:rPr>
          <w:rFonts w:cstheme="majorHAnsi"/>
          <w:lang w:val="fr-FR"/>
        </w:rPr>
        <w:t>Ê</w:t>
      </w:r>
      <w:r w:rsidRPr="00915031">
        <w:rPr>
          <w:lang w:val="fr-FR"/>
        </w:rPr>
        <w:t>TE AU SENS DE L</w:t>
      </w:r>
      <w:r w:rsidR="00915031" w:rsidRPr="00915031">
        <w:rPr>
          <w:lang w:val="fr-FR"/>
        </w:rPr>
        <w:t>’</w:t>
      </w:r>
      <w:r w:rsidRPr="00915031">
        <w:rPr>
          <w:lang w:val="fr-FR"/>
        </w:rPr>
        <w:t>ARTICLE 37 DE LA CONVENTION</w:t>
      </w:r>
    </w:p>
    <w:p w:rsidR="00080074" w:rsidRPr="00915031" w:rsidRDefault="00D05DBA" w:rsidP="00915031">
      <w:pPr>
        <w:pStyle w:val="ECHRPara"/>
        <w:rPr>
          <w:lang w:val="fr-FR"/>
        </w:rPr>
      </w:pPr>
      <w:r w:rsidRPr="00915031">
        <w:rPr>
          <w:lang w:val="fr-FR"/>
        </w:rPr>
        <w:fldChar w:fldCharType="begin"/>
      </w:r>
      <w:r w:rsidRPr="00915031">
        <w:rPr>
          <w:lang w:val="fr-FR"/>
        </w:rPr>
        <w:instrText xml:space="preserve"> SEQ level0 \*arabic </w:instrText>
      </w:r>
      <w:r w:rsidRPr="00915031">
        <w:rPr>
          <w:lang w:val="fr-FR"/>
        </w:rPr>
        <w:fldChar w:fldCharType="separate"/>
      </w:r>
      <w:r w:rsidR="00915031" w:rsidRPr="00915031">
        <w:rPr>
          <w:noProof/>
          <w:lang w:val="fr-FR"/>
        </w:rPr>
        <w:t>21</w:t>
      </w:r>
      <w:r w:rsidRPr="00915031">
        <w:rPr>
          <w:lang w:val="fr-FR"/>
        </w:rPr>
        <w:fldChar w:fldCharType="end"/>
      </w:r>
      <w:r w:rsidRPr="00915031">
        <w:rPr>
          <w:lang w:val="fr-FR"/>
        </w:rPr>
        <w:t>.  </w:t>
      </w:r>
      <w:r w:rsidR="00080074" w:rsidRPr="00915031">
        <w:rPr>
          <w:lang w:val="fr-FR"/>
        </w:rPr>
        <w:t>Après l</w:t>
      </w:r>
      <w:r w:rsidR="00915031" w:rsidRPr="00915031">
        <w:rPr>
          <w:lang w:val="fr-FR"/>
        </w:rPr>
        <w:t>’</w:t>
      </w:r>
      <w:r w:rsidR="00080074" w:rsidRPr="00915031">
        <w:rPr>
          <w:lang w:val="fr-FR"/>
        </w:rPr>
        <w:t>échec des tentatives de règlement amiable, le 16 décembre 2015, le Gouvernement a informé la Cour qu</w:t>
      </w:r>
      <w:r w:rsidR="00915031" w:rsidRPr="00915031">
        <w:rPr>
          <w:lang w:val="fr-FR"/>
        </w:rPr>
        <w:t>’</w:t>
      </w:r>
      <w:r w:rsidR="00080074" w:rsidRPr="00915031">
        <w:rPr>
          <w:lang w:val="fr-FR"/>
        </w:rPr>
        <w:t xml:space="preserve">il </w:t>
      </w:r>
      <w:r w:rsidR="0065234D" w:rsidRPr="00915031">
        <w:rPr>
          <w:lang w:val="fr-FR"/>
        </w:rPr>
        <w:t>a formulé</w:t>
      </w:r>
      <w:r w:rsidR="00080074" w:rsidRPr="00915031">
        <w:rPr>
          <w:lang w:val="fr-FR"/>
        </w:rPr>
        <w:t xml:space="preserve"> une déclaration unilatérale afin de résoudre la question soulevée par la requête. Il a invité la Cour à rayer celle-ci du rôle en application de l</w:t>
      </w:r>
      <w:r w:rsidR="00915031" w:rsidRPr="00915031">
        <w:rPr>
          <w:lang w:val="fr-FR"/>
        </w:rPr>
        <w:t>’</w:t>
      </w:r>
      <w:r w:rsidR="00080074" w:rsidRPr="00915031">
        <w:rPr>
          <w:lang w:val="fr-FR"/>
        </w:rPr>
        <w:t>article 37 de la Convention en contrepartie du versement d</w:t>
      </w:r>
      <w:r w:rsidR="00915031" w:rsidRPr="00915031">
        <w:rPr>
          <w:lang w:val="fr-FR"/>
        </w:rPr>
        <w:t>’</w:t>
      </w:r>
      <w:r w:rsidR="00080074" w:rsidRPr="00915031">
        <w:rPr>
          <w:lang w:val="fr-FR"/>
        </w:rPr>
        <w:t>une somme</w:t>
      </w:r>
      <w:r w:rsidR="00C83870" w:rsidRPr="00915031">
        <w:rPr>
          <w:lang w:val="fr-FR"/>
        </w:rPr>
        <w:t xml:space="preserve"> globale (236 777 EUR), couvrant tout préjudice matériel et moral ainsi que les frais et dépens</w:t>
      </w:r>
      <w:r w:rsidR="00080074" w:rsidRPr="00915031">
        <w:rPr>
          <w:lang w:val="fr-FR"/>
        </w:rPr>
        <w:t xml:space="preserve"> et de la reconnaissance de la violation du droit au respect des biens au sens de l</w:t>
      </w:r>
      <w:r w:rsidR="00915031" w:rsidRPr="00915031">
        <w:rPr>
          <w:lang w:val="fr-FR"/>
        </w:rPr>
        <w:t>’</w:t>
      </w:r>
      <w:r w:rsidR="00080074" w:rsidRPr="00915031">
        <w:rPr>
          <w:lang w:val="fr-FR"/>
        </w:rPr>
        <w:t>article 1 du Protocole n</w:t>
      </w:r>
      <w:r w:rsidR="00080074" w:rsidRPr="00915031">
        <w:rPr>
          <w:vertAlign w:val="superscript"/>
          <w:lang w:val="fr-FR"/>
        </w:rPr>
        <w:t>o</w:t>
      </w:r>
      <w:r w:rsidR="00080074" w:rsidRPr="00915031">
        <w:rPr>
          <w:lang w:val="fr-FR"/>
        </w:rPr>
        <w:t xml:space="preserve"> 1 et de l</w:t>
      </w:r>
      <w:r w:rsidR="00915031" w:rsidRPr="00915031">
        <w:rPr>
          <w:lang w:val="fr-FR"/>
        </w:rPr>
        <w:t>’</w:t>
      </w:r>
      <w:r w:rsidR="00080074" w:rsidRPr="00915031">
        <w:rPr>
          <w:lang w:val="fr-FR"/>
        </w:rPr>
        <w:t>article 6 § 1 de la Convention.</w:t>
      </w:r>
    </w:p>
    <w:p w:rsidR="00080074" w:rsidRPr="00915031" w:rsidRDefault="00080074" w:rsidP="00915031">
      <w:pPr>
        <w:pStyle w:val="ECHRPara"/>
        <w:rPr>
          <w:lang w:val="fr-FR"/>
        </w:rPr>
      </w:pPr>
      <w:r w:rsidRPr="00915031">
        <w:rPr>
          <w:lang w:val="fr-FR"/>
        </w:rPr>
        <w:fldChar w:fldCharType="begin"/>
      </w:r>
      <w:r w:rsidRPr="00915031">
        <w:rPr>
          <w:lang w:val="fr-FR"/>
        </w:rPr>
        <w:instrText xml:space="preserve"> SEQ level0 \*arabic </w:instrText>
      </w:r>
      <w:r w:rsidRPr="00915031">
        <w:rPr>
          <w:lang w:val="fr-FR"/>
        </w:rPr>
        <w:fldChar w:fldCharType="separate"/>
      </w:r>
      <w:r w:rsidR="00915031" w:rsidRPr="00915031">
        <w:rPr>
          <w:noProof/>
          <w:lang w:val="fr-FR"/>
        </w:rPr>
        <w:t>22</w:t>
      </w:r>
      <w:r w:rsidRPr="00915031">
        <w:rPr>
          <w:lang w:val="fr-FR"/>
        </w:rPr>
        <w:fldChar w:fldCharType="end"/>
      </w:r>
      <w:r w:rsidRPr="00915031">
        <w:rPr>
          <w:lang w:val="fr-FR"/>
        </w:rPr>
        <w:t>.  Le 15 janvier 2016, les requérants ont déclaré qu</w:t>
      </w:r>
      <w:r w:rsidR="00915031" w:rsidRPr="00915031">
        <w:rPr>
          <w:lang w:val="fr-FR"/>
        </w:rPr>
        <w:t>’</w:t>
      </w:r>
      <w:r w:rsidRPr="00915031">
        <w:rPr>
          <w:lang w:val="fr-FR"/>
        </w:rPr>
        <w:t>ils n</w:t>
      </w:r>
      <w:r w:rsidR="00915031" w:rsidRPr="00915031">
        <w:rPr>
          <w:lang w:val="fr-FR"/>
        </w:rPr>
        <w:t>’</w:t>
      </w:r>
      <w:r w:rsidRPr="00915031">
        <w:rPr>
          <w:lang w:val="fr-FR"/>
        </w:rPr>
        <w:t>étaient pas satisfaits des termes de la déclaration unilatérale compte tenu du montant offert.</w:t>
      </w:r>
    </w:p>
    <w:p w:rsidR="00080074" w:rsidRPr="00915031" w:rsidRDefault="00080074" w:rsidP="00915031">
      <w:pPr>
        <w:pStyle w:val="ECHRPara"/>
        <w:rPr>
          <w:lang w:val="fr-FR"/>
        </w:rPr>
      </w:pPr>
      <w:r w:rsidRPr="00915031">
        <w:rPr>
          <w:lang w:val="fr-FR"/>
        </w:rPr>
        <w:fldChar w:fldCharType="begin"/>
      </w:r>
      <w:r w:rsidRPr="00915031">
        <w:rPr>
          <w:lang w:val="fr-FR"/>
        </w:rPr>
        <w:instrText xml:space="preserve"> SEQ level0 \*arabic </w:instrText>
      </w:r>
      <w:r w:rsidRPr="00915031">
        <w:rPr>
          <w:lang w:val="fr-FR"/>
        </w:rPr>
        <w:fldChar w:fldCharType="separate"/>
      </w:r>
      <w:r w:rsidR="00915031" w:rsidRPr="00915031">
        <w:rPr>
          <w:noProof/>
          <w:lang w:val="fr-FR"/>
        </w:rPr>
        <w:t>23</w:t>
      </w:r>
      <w:r w:rsidRPr="00915031">
        <w:rPr>
          <w:lang w:val="fr-FR"/>
        </w:rPr>
        <w:fldChar w:fldCharType="end"/>
      </w:r>
      <w:r w:rsidRPr="00915031">
        <w:rPr>
          <w:lang w:val="fr-FR"/>
        </w:rPr>
        <w:t>.  La Cour</w:t>
      </w:r>
      <w:r w:rsidR="00613BB6" w:rsidRPr="00915031">
        <w:rPr>
          <w:lang w:val="fr-FR"/>
        </w:rPr>
        <w:t xml:space="preserve"> a</w:t>
      </w:r>
      <w:r w:rsidRPr="00915031">
        <w:rPr>
          <w:lang w:val="fr-FR"/>
        </w:rPr>
        <w:t xml:space="preserve"> affirm</w:t>
      </w:r>
      <w:r w:rsidR="00613BB6" w:rsidRPr="00915031">
        <w:rPr>
          <w:lang w:val="fr-FR"/>
        </w:rPr>
        <w:t>é</w:t>
      </w:r>
      <w:r w:rsidRPr="00915031">
        <w:rPr>
          <w:lang w:val="fr-FR"/>
        </w:rPr>
        <w:t xml:space="preserve"> que, dans certaines circonstances, il peut être indiqué de rayer une requête du rôle en vertu de l</w:t>
      </w:r>
      <w:r w:rsidR="00915031" w:rsidRPr="00915031">
        <w:rPr>
          <w:lang w:val="fr-FR"/>
        </w:rPr>
        <w:t>’</w:t>
      </w:r>
      <w:r w:rsidRPr="00915031">
        <w:rPr>
          <w:lang w:val="fr-FR"/>
        </w:rPr>
        <w:t>article 37 § 1 c) de la Convention sur la base d</w:t>
      </w:r>
      <w:r w:rsidR="00915031" w:rsidRPr="00915031">
        <w:rPr>
          <w:lang w:val="fr-FR"/>
        </w:rPr>
        <w:t>’</w:t>
      </w:r>
      <w:r w:rsidRPr="00915031">
        <w:rPr>
          <w:lang w:val="fr-FR"/>
        </w:rPr>
        <w:t>une déclaration unilatérale du gouvernement défendeur même si le requérant souhaite que l</w:t>
      </w:r>
      <w:r w:rsidR="00915031" w:rsidRPr="00915031">
        <w:rPr>
          <w:lang w:val="fr-FR"/>
        </w:rPr>
        <w:t>’</w:t>
      </w:r>
      <w:r w:rsidRPr="00915031">
        <w:rPr>
          <w:lang w:val="fr-FR"/>
        </w:rPr>
        <w:t>examen de l</w:t>
      </w:r>
      <w:r w:rsidR="00915031" w:rsidRPr="00915031">
        <w:rPr>
          <w:lang w:val="fr-FR"/>
        </w:rPr>
        <w:t>’</w:t>
      </w:r>
      <w:r w:rsidRPr="00915031">
        <w:rPr>
          <w:lang w:val="fr-FR"/>
        </w:rPr>
        <w:t>affaire se poursuive. Ce seront toutefois les circonstances particulières de la cause qui permettront de déterminer si la déclaration unilatérale offre une base suffisante pour que la Cour conclue que le respect des droits de l</w:t>
      </w:r>
      <w:r w:rsidR="00915031" w:rsidRPr="00915031">
        <w:rPr>
          <w:lang w:val="fr-FR"/>
        </w:rPr>
        <w:t>’</w:t>
      </w:r>
      <w:r w:rsidRPr="00915031">
        <w:rPr>
          <w:lang w:val="fr-FR"/>
        </w:rPr>
        <w:t>homme garantis par la Convention n</w:t>
      </w:r>
      <w:r w:rsidR="00915031" w:rsidRPr="00915031">
        <w:rPr>
          <w:lang w:val="fr-FR"/>
        </w:rPr>
        <w:t>’</w:t>
      </w:r>
      <w:r w:rsidRPr="00915031">
        <w:rPr>
          <w:lang w:val="fr-FR"/>
        </w:rPr>
        <w:t>exige pas qu</w:t>
      </w:r>
      <w:r w:rsidR="00915031" w:rsidRPr="00915031">
        <w:rPr>
          <w:lang w:val="fr-FR"/>
        </w:rPr>
        <w:t>’</w:t>
      </w:r>
      <w:r w:rsidRPr="00915031">
        <w:rPr>
          <w:lang w:val="fr-FR"/>
        </w:rPr>
        <w:t>elle poursuive l</w:t>
      </w:r>
      <w:r w:rsidR="00915031" w:rsidRPr="00915031">
        <w:rPr>
          <w:lang w:val="fr-FR"/>
        </w:rPr>
        <w:t>’</w:t>
      </w:r>
      <w:r w:rsidRPr="00915031">
        <w:rPr>
          <w:lang w:val="fr-FR"/>
        </w:rPr>
        <w:t>examen de l</w:t>
      </w:r>
      <w:r w:rsidR="00915031" w:rsidRPr="00915031">
        <w:rPr>
          <w:lang w:val="fr-FR"/>
        </w:rPr>
        <w:t>’</w:t>
      </w:r>
      <w:r w:rsidRPr="00915031">
        <w:rPr>
          <w:lang w:val="fr-FR"/>
        </w:rPr>
        <w:t>affaire au sens de l</w:t>
      </w:r>
      <w:r w:rsidR="00915031" w:rsidRPr="00915031">
        <w:rPr>
          <w:lang w:val="fr-FR"/>
        </w:rPr>
        <w:t>’</w:t>
      </w:r>
      <w:r w:rsidRPr="00915031">
        <w:rPr>
          <w:lang w:val="fr-FR"/>
        </w:rPr>
        <w:t>article 37 § 1 in fine (voir, parmi d</w:t>
      </w:r>
      <w:r w:rsidR="00915031" w:rsidRPr="00915031">
        <w:rPr>
          <w:lang w:val="fr-FR"/>
        </w:rPr>
        <w:t>’</w:t>
      </w:r>
      <w:r w:rsidRPr="00915031">
        <w:rPr>
          <w:lang w:val="fr-FR"/>
        </w:rPr>
        <w:t xml:space="preserve">autres, </w:t>
      </w:r>
      <w:proofErr w:type="spellStart"/>
      <w:r w:rsidRPr="00915031">
        <w:rPr>
          <w:i/>
          <w:lang w:val="fr-FR"/>
        </w:rPr>
        <w:t>Tahsin</w:t>
      </w:r>
      <w:proofErr w:type="spellEnd"/>
      <w:r w:rsidRPr="00915031">
        <w:rPr>
          <w:i/>
          <w:lang w:val="fr-FR"/>
        </w:rPr>
        <w:t xml:space="preserve"> </w:t>
      </w:r>
      <w:proofErr w:type="spellStart"/>
      <w:r w:rsidRPr="00915031">
        <w:rPr>
          <w:i/>
          <w:lang w:val="fr-FR"/>
        </w:rPr>
        <w:t>Acar</w:t>
      </w:r>
      <w:proofErr w:type="spellEnd"/>
      <w:r w:rsidRPr="00915031">
        <w:rPr>
          <w:i/>
          <w:lang w:val="fr-FR"/>
        </w:rPr>
        <w:t xml:space="preserve"> c.</w:t>
      </w:r>
      <w:r w:rsidR="003D1DD7" w:rsidRPr="00915031">
        <w:rPr>
          <w:i/>
          <w:lang w:val="fr-FR"/>
        </w:rPr>
        <w:t> </w:t>
      </w:r>
      <w:r w:rsidRPr="00915031">
        <w:rPr>
          <w:i/>
          <w:lang w:val="fr-FR"/>
        </w:rPr>
        <w:t>Turquie</w:t>
      </w:r>
      <w:r w:rsidRPr="00915031">
        <w:rPr>
          <w:iCs/>
          <w:lang w:val="fr-FR"/>
        </w:rPr>
        <w:t xml:space="preserve"> (exceptions préliminaires) </w:t>
      </w:r>
      <w:r w:rsidRPr="00915031">
        <w:rPr>
          <w:lang w:val="fr-FR"/>
        </w:rPr>
        <w:t>[GC],</w:t>
      </w:r>
      <w:r w:rsidRPr="00915031">
        <w:rPr>
          <w:i/>
          <w:lang w:val="fr-FR"/>
        </w:rPr>
        <w:t xml:space="preserve"> </w:t>
      </w:r>
      <w:r w:rsidRPr="00915031">
        <w:rPr>
          <w:lang w:val="fr-FR"/>
        </w:rPr>
        <w:t>n</w:t>
      </w:r>
      <w:r w:rsidRPr="00915031">
        <w:rPr>
          <w:vertAlign w:val="superscript"/>
          <w:lang w:val="fr-FR"/>
        </w:rPr>
        <w:t xml:space="preserve">o </w:t>
      </w:r>
      <w:r w:rsidR="00915031" w:rsidRPr="00915031">
        <w:rPr>
          <w:lang w:val="fr-FR"/>
        </w:rPr>
        <w:t>26307/95, § 75, CEDH </w:t>
      </w:r>
      <w:r w:rsidRPr="00915031">
        <w:rPr>
          <w:lang w:val="fr-FR"/>
        </w:rPr>
        <w:t>2003</w:t>
      </w:r>
      <w:r w:rsidRPr="00915031">
        <w:rPr>
          <w:lang w:val="fr-FR"/>
        </w:rPr>
        <w:noBreakHyphen/>
        <w:t xml:space="preserve">VI; </w:t>
      </w:r>
      <w:proofErr w:type="spellStart"/>
      <w:r w:rsidRPr="00915031">
        <w:rPr>
          <w:i/>
          <w:lang w:val="fr-FR"/>
        </w:rPr>
        <w:t>Melnic</w:t>
      </w:r>
      <w:proofErr w:type="spellEnd"/>
      <w:r w:rsidRPr="00915031">
        <w:rPr>
          <w:i/>
          <w:lang w:val="fr-FR"/>
        </w:rPr>
        <w:t xml:space="preserve"> c. Moldova</w:t>
      </w:r>
      <w:r w:rsidRPr="00915031">
        <w:rPr>
          <w:lang w:val="fr-FR"/>
        </w:rPr>
        <w:t>, n</w:t>
      </w:r>
      <w:r w:rsidRPr="00915031">
        <w:rPr>
          <w:vertAlign w:val="superscript"/>
          <w:lang w:val="fr-FR"/>
        </w:rPr>
        <w:t>o</w:t>
      </w:r>
      <w:r w:rsidRPr="00915031">
        <w:rPr>
          <w:lang w:val="fr-FR"/>
        </w:rPr>
        <w:t xml:space="preserve"> 6923/03, § 14, 14 novembre 2006).</w:t>
      </w:r>
    </w:p>
    <w:p w:rsidR="00080074" w:rsidRPr="00915031" w:rsidRDefault="00080074" w:rsidP="00915031">
      <w:pPr>
        <w:pStyle w:val="ECHRPara"/>
        <w:rPr>
          <w:lang w:val="fr-FR"/>
        </w:rPr>
      </w:pPr>
      <w:r w:rsidRPr="00915031">
        <w:rPr>
          <w:lang w:val="fr-FR"/>
        </w:rPr>
        <w:fldChar w:fldCharType="begin"/>
      </w:r>
      <w:r w:rsidRPr="00915031">
        <w:rPr>
          <w:lang w:val="fr-FR"/>
        </w:rPr>
        <w:instrText xml:space="preserve"> SEQ level0 \*arabic </w:instrText>
      </w:r>
      <w:r w:rsidRPr="00915031">
        <w:rPr>
          <w:lang w:val="fr-FR"/>
        </w:rPr>
        <w:fldChar w:fldCharType="separate"/>
      </w:r>
      <w:r w:rsidR="00915031" w:rsidRPr="00915031">
        <w:rPr>
          <w:noProof/>
          <w:lang w:val="fr-FR"/>
        </w:rPr>
        <w:t>24</w:t>
      </w:r>
      <w:r w:rsidRPr="00915031">
        <w:rPr>
          <w:lang w:val="fr-FR"/>
        </w:rPr>
        <w:fldChar w:fldCharType="end"/>
      </w:r>
      <w:r w:rsidRPr="00915031">
        <w:rPr>
          <w:lang w:val="fr-FR"/>
        </w:rPr>
        <w:t>.  Parmi les facteurs à prendre en compte à cet égard figure, entre autres, si dans sa déclaration unilatérale le Gouvernement défendeur formule l</w:t>
      </w:r>
      <w:r w:rsidR="00915031" w:rsidRPr="00915031">
        <w:rPr>
          <w:lang w:val="fr-FR"/>
        </w:rPr>
        <w:t>’</w:t>
      </w:r>
      <w:r w:rsidRPr="00915031">
        <w:rPr>
          <w:lang w:val="fr-FR"/>
        </w:rPr>
        <w:t>une ou l</w:t>
      </w:r>
      <w:r w:rsidR="00915031" w:rsidRPr="00915031">
        <w:rPr>
          <w:lang w:val="fr-FR"/>
        </w:rPr>
        <w:t>’</w:t>
      </w:r>
      <w:r w:rsidRPr="00915031">
        <w:rPr>
          <w:lang w:val="fr-FR"/>
        </w:rPr>
        <w:t>autre concession en ce qui concerne les allégations de violations de la Convention et, dans cette hypothèse, quelles sont l</w:t>
      </w:r>
      <w:r w:rsidR="00915031" w:rsidRPr="00915031">
        <w:rPr>
          <w:lang w:val="fr-FR"/>
        </w:rPr>
        <w:t>’</w:t>
      </w:r>
      <w:r w:rsidRPr="00915031">
        <w:rPr>
          <w:lang w:val="fr-FR"/>
        </w:rPr>
        <w:t>ampleur de ces concessions et les modalités du redressement qu</w:t>
      </w:r>
      <w:r w:rsidR="00915031" w:rsidRPr="00915031">
        <w:rPr>
          <w:lang w:val="fr-FR"/>
        </w:rPr>
        <w:t>’</w:t>
      </w:r>
      <w:r w:rsidRPr="00915031">
        <w:rPr>
          <w:lang w:val="fr-FR"/>
        </w:rPr>
        <w:t>il entend fournir au requérant. Quant à ce dernier point, dans les cas où il est possible d</w:t>
      </w:r>
      <w:r w:rsidR="00915031" w:rsidRPr="00915031">
        <w:rPr>
          <w:lang w:val="fr-FR"/>
        </w:rPr>
        <w:t>’</w:t>
      </w:r>
      <w:r w:rsidRPr="00915031">
        <w:rPr>
          <w:lang w:val="fr-FR"/>
        </w:rPr>
        <w:t>effacer les conséquences d</w:t>
      </w:r>
      <w:r w:rsidR="00915031" w:rsidRPr="00915031">
        <w:rPr>
          <w:lang w:val="fr-FR"/>
        </w:rPr>
        <w:t>’</w:t>
      </w:r>
      <w:r w:rsidRPr="00915031">
        <w:rPr>
          <w:lang w:val="fr-FR"/>
        </w:rPr>
        <w:t>une violation alléguée (par exemple dans certaines affaires de propriété) et où le Gouvernement défendeur se déclare disposé à le faire, le redressement envisagé a davantage de chances d</w:t>
      </w:r>
      <w:r w:rsidR="00915031" w:rsidRPr="00915031">
        <w:rPr>
          <w:lang w:val="fr-FR"/>
        </w:rPr>
        <w:t>’</w:t>
      </w:r>
      <w:r w:rsidRPr="00915031">
        <w:rPr>
          <w:lang w:val="fr-FR"/>
        </w:rPr>
        <w:t>être tenu pour adéquat aux fins d</w:t>
      </w:r>
      <w:r w:rsidR="00915031" w:rsidRPr="00915031">
        <w:rPr>
          <w:lang w:val="fr-FR"/>
        </w:rPr>
        <w:t>’</w:t>
      </w:r>
      <w:r w:rsidRPr="00915031">
        <w:rPr>
          <w:lang w:val="fr-FR"/>
        </w:rPr>
        <w:t xml:space="preserve">une radiation de la requête (voir </w:t>
      </w:r>
      <w:proofErr w:type="spellStart"/>
      <w:r w:rsidRPr="00915031">
        <w:rPr>
          <w:i/>
          <w:lang w:val="fr-FR"/>
        </w:rPr>
        <w:t>Tahsin</w:t>
      </w:r>
      <w:proofErr w:type="spellEnd"/>
      <w:r w:rsidRPr="00915031">
        <w:rPr>
          <w:i/>
          <w:lang w:val="fr-FR"/>
        </w:rPr>
        <w:t xml:space="preserve"> </w:t>
      </w:r>
      <w:proofErr w:type="spellStart"/>
      <w:r w:rsidRPr="00915031">
        <w:rPr>
          <w:i/>
          <w:lang w:val="fr-FR"/>
        </w:rPr>
        <w:t>Acar</w:t>
      </w:r>
      <w:proofErr w:type="spellEnd"/>
      <w:r w:rsidR="00915031" w:rsidRPr="00915031">
        <w:rPr>
          <w:lang w:val="fr-FR"/>
        </w:rPr>
        <w:t xml:space="preserve">, précité, </w:t>
      </w:r>
      <w:r w:rsidRPr="00915031">
        <w:rPr>
          <w:lang w:val="fr-FR"/>
        </w:rPr>
        <w:t>§ 76).</w:t>
      </w:r>
    </w:p>
    <w:p w:rsidR="00080074" w:rsidRPr="00915031" w:rsidRDefault="00080074" w:rsidP="00915031">
      <w:pPr>
        <w:pStyle w:val="ECHRPara"/>
        <w:rPr>
          <w:lang w:val="fr-FR"/>
        </w:rPr>
      </w:pPr>
      <w:r w:rsidRPr="00915031">
        <w:fldChar w:fldCharType="begin"/>
      </w:r>
      <w:r w:rsidRPr="00915031">
        <w:rPr>
          <w:lang w:val="fr-FR"/>
        </w:rPr>
        <w:instrText xml:space="preserve"> SEQ level0 \*arabic </w:instrText>
      </w:r>
      <w:r w:rsidRPr="00915031">
        <w:fldChar w:fldCharType="separate"/>
      </w:r>
      <w:r w:rsidR="00915031" w:rsidRPr="00915031">
        <w:rPr>
          <w:noProof/>
          <w:lang w:val="fr-FR"/>
        </w:rPr>
        <w:t>25</w:t>
      </w:r>
      <w:r w:rsidRPr="00915031">
        <w:rPr>
          <w:lang w:val="fr-FR"/>
        </w:rPr>
        <w:fldChar w:fldCharType="end"/>
      </w:r>
      <w:r w:rsidRPr="00915031">
        <w:rPr>
          <w:lang w:val="fr-FR"/>
        </w:rPr>
        <w:t>.  </w:t>
      </w:r>
      <w:proofErr w:type="gramStart"/>
      <w:r w:rsidRPr="00915031">
        <w:rPr>
          <w:lang w:val="fr-FR"/>
        </w:rPr>
        <w:t>Quant au point de savoir s</w:t>
      </w:r>
      <w:r w:rsidR="00915031" w:rsidRPr="00915031">
        <w:rPr>
          <w:lang w:val="fr-FR"/>
        </w:rPr>
        <w:t>’</w:t>
      </w:r>
      <w:r w:rsidRPr="00915031">
        <w:rPr>
          <w:lang w:val="fr-FR"/>
        </w:rPr>
        <w:t xml:space="preserve">il serait opportun de rayer la présente requête sur la base de la déclaration unilatérale du Gouvernement, la Cour relève  que le montant du dédommagement offert est insuffisant par rapport aux sommes octroyées par </w:t>
      </w:r>
      <w:r w:rsidR="00613BB6" w:rsidRPr="00915031">
        <w:rPr>
          <w:lang w:val="fr-FR"/>
        </w:rPr>
        <w:t>elle</w:t>
      </w:r>
      <w:r w:rsidRPr="00915031">
        <w:rPr>
          <w:lang w:val="fr-FR"/>
        </w:rPr>
        <w:t xml:space="preserve"> dans des affaires similaires en matière d</w:t>
      </w:r>
      <w:r w:rsidR="00915031" w:rsidRPr="00915031">
        <w:rPr>
          <w:lang w:val="fr-FR"/>
        </w:rPr>
        <w:t>’</w:t>
      </w:r>
      <w:r w:rsidRPr="00915031">
        <w:rPr>
          <w:lang w:val="fr-FR"/>
        </w:rPr>
        <w:t xml:space="preserve">expropriation indirecte (voir </w:t>
      </w:r>
      <w:proofErr w:type="spellStart"/>
      <w:r w:rsidRPr="00915031">
        <w:rPr>
          <w:i/>
          <w:lang w:val="fr-FR"/>
        </w:rPr>
        <w:t>Guiso-Gallisay</w:t>
      </w:r>
      <w:proofErr w:type="spellEnd"/>
      <w:r w:rsidRPr="00915031">
        <w:rPr>
          <w:i/>
          <w:lang w:val="fr-FR"/>
        </w:rPr>
        <w:t xml:space="preserve"> c. Italie </w:t>
      </w:r>
      <w:r w:rsidRPr="00915031">
        <w:rPr>
          <w:lang w:val="fr-FR"/>
        </w:rPr>
        <w:t>(satisfaction équitable) [GC], n</w:t>
      </w:r>
      <w:r w:rsidRPr="00915031">
        <w:rPr>
          <w:vertAlign w:val="superscript"/>
          <w:lang w:val="fr-FR"/>
        </w:rPr>
        <w:t>o</w:t>
      </w:r>
      <w:r w:rsidRPr="00915031">
        <w:rPr>
          <w:lang w:val="fr-FR"/>
        </w:rPr>
        <w:t xml:space="preserve"> 58858/00, 22 décembre 2009</w:t>
      </w:r>
      <w:r w:rsidR="003071DD" w:rsidRPr="00915031">
        <w:rPr>
          <w:lang w:val="fr-FR"/>
        </w:rPr>
        <w:t> ;</w:t>
      </w:r>
      <w:r w:rsidRPr="00915031">
        <w:rPr>
          <w:lang w:val="fr-FR"/>
        </w:rPr>
        <w:t xml:space="preserve"> </w:t>
      </w:r>
      <w:r w:rsidRPr="00915031">
        <w:rPr>
          <w:i/>
          <w:lang w:val="fr-FR"/>
        </w:rPr>
        <w:t xml:space="preserve">Rivera et di </w:t>
      </w:r>
      <w:proofErr w:type="spellStart"/>
      <w:r w:rsidRPr="00915031">
        <w:rPr>
          <w:i/>
          <w:lang w:val="fr-FR"/>
        </w:rPr>
        <w:t>Bonaventura</w:t>
      </w:r>
      <w:proofErr w:type="spellEnd"/>
      <w:r w:rsidRPr="00915031">
        <w:rPr>
          <w:i/>
          <w:lang w:val="fr-FR"/>
        </w:rPr>
        <w:t xml:space="preserve"> </w:t>
      </w:r>
      <w:r w:rsidRPr="00915031">
        <w:rPr>
          <w:i/>
          <w:lang w:val="fr-FR"/>
        </w:rPr>
        <w:lastRenderedPageBreak/>
        <w:t>c.</w:t>
      </w:r>
      <w:r w:rsidR="003D1DD7" w:rsidRPr="00915031">
        <w:rPr>
          <w:i/>
          <w:lang w:val="fr-FR"/>
        </w:rPr>
        <w:t> </w:t>
      </w:r>
      <w:r w:rsidRPr="00915031">
        <w:rPr>
          <w:i/>
          <w:lang w:val="fr-FR"/>
        </w:rPr>
        <w:t>Italie</w:t>
      </w:r>
      <w:r w:rsidRPr="00915031">
        <w:rPr>
          <w:lang w:val="fr-FR"/>
        </w:rPr>
        <w:t>, n</w:t>
      </w:r>
      <w:r w:rsidRPr="00915031">
        <w:rPr>
          <w:vertAlign w:val="superscript"/>
          <w:lang w:val="fr-FR"/>
        </w:rPr>
        <w:t>o</w:t>
      </w:r>
      <w:r w:rsidRPr="00915031">
        <w:rPr>
          <w:lang w:val="fr-FR"/>
        </w:rPr>
        <w:t xml:space="preserve"> 63869/00, 14 juin 2011</w:t>
      </w:r>
      <w:r w:rsidR="003071DD" w:rsidRPr="00915031">
        <w:rPr>
          <w:lang w:val="fr-FR"/>
        </w:rPr>
        <w:t> ;</w:t>
      </w:r>
      <w:r w:rsidRPr="00915031">
        <w:rPr>
          <w:lang w:val="fr-FR"/>
        </w:rPr>
        <w:t xml:space="preserve"> </w:t>
      </w:r>
      <w:r w:rsidRPr="00915031">
        <w:rPr>
          <w:i/>
          <w:lang w:val="fr-FR"/>
        </w:rPr>
        <w:t>De Caterina et autres c. Italie</w:t>
      </w:r>
      <w:r w:rsidRPr="00915031">
        <w:rPr>
          <w:lang w:val="fr-FR"/>
        </w:rPr>
        <w:t>, n</w:t>
      </w:r>
      <w:r w:rsidRPr="00915031">
        <w:rPr>
          <w:vertAlign w:val="superscript"/>
          <w:lang w:val="fr-FR"/>
        </w:rPr>
        <w:t>o</w:t>
      </w:r>
      <w:r w:rsidRPr="00915031">
        <w:rPr>
          <w:lang w:val="fr-FR"/>
        </w:rPr>
        <w:t> 65278/01, 28 juin 2011</w:t>
      </w:r>
      <w:r w:rsidR="003071DD" w:rsidRPr="00915031">
        <w:rPr>
          <w:lang w:val="fr-FR"/>
        </w:rPr>
        <w:t> ;</w:t>
      </w:r>
      <w:r w:rsidRPr="00915031">
        <w:rPr>
          <w:lang w:val="fr-FR"/>
        </w:rPr>
        <w:t xml:space="preserve"> </w:t>
      </w:r>
      <w:proofErr w:type="spellStart"/>
      <w:r w:rsidRPr="00915031">
        <w:rPr>
          <w:i/>
          <w:lang w:val="fr-FR"/>
        </w:rPr>
        <w:t>Macrì</w:t>
      </w:r>
      <w:proofErr w:type="spellEnd"/>
      <w:r w:rsidRPr="00915031">
        <w:rPr>
          <w:i/>
          <w:lang w:val="fr-FR"/>
        </w:rPr>
        <w:t xml:space="preserve"> et autres c. Italie</w:t>
      </w:r>
      <w:r w:rsidRPr="00915031">
        <w:rPr>
          <w:lang w:val="fr-FR"/>
        </w:rPr>
        <w:t>, n</w:t>
      </w:r>
      <w:r w:rsidRPr="00915031">
        <w:rPr>
          <w:vertAlign w:val="superscript"/>
          <w:lang w:val="fr-FR"/>
        </w:rPr>
        <w:t>o</w:t>
      </w:r>
      <w:r w:rsidRPr="00915031">
        <w:rPr>
          <w:lang w:val="fr-FR"/>
        </w:rPr>
        <w:t xml:space="preserve"> 14130/02, 12 juillet 2011).</w:t>
      </w:r>
      <w:proofErr w:type="gramEnd"/>
    </w:p>
    <w:p w:rsidR="00080074" w:rsidRPr="00915031" w:rsidRDefault="00080074" w:rsidP="00915031">
      <w:pPr>
        <w:pStyle w:val="ECHRPara"/>
        <w:rPr>
          <w:lang w:val="fr-FR"/>
        </w:rPr>
      </w:pPr>
      <w:r w:rsidRPr="00915031">
        <w:rPr>
          <w:lang w:val="fr-FR"/>
        </w:rPr>
        <w:fldChar w:fldCharType="begin"/>
      </w:r>
      <w:r w:rsidRPr="00915031">
        <w:rPr>
          <w:lang w:val="fr-FR"/>
        </w:rPr>
        <w:instrText xml:space="preserve"> SEQ level0 \*arabic </w:instrText>
      </w:r>
      <w:r w:rsidRPr="00915031">
        <w:rPr>
          <w:lang w:val="fr-FR"/>
        </w:rPr>
        <w:fldChar w:fldCharType="separate"/>
      </w:r>
      <w:r w:rsidR="00915031" w:rsidRPr="00915031">
        <w:rPr>
          <w:noProof/>
          <w:lang w:val="fr-FR"/>
        </w:rPr>
        <w:t>26</w:t>
      </w:r>
      <w:r w:rsidRPr="00915031">
        <w:rPr>
          <w:lang w:val="fr-FR"/>
        </w:rPr>
        <w:fldChar w:fldCharType="end"/>
      </w:r>
      <w:r w:rsidRPr="00915031">
        <w:rPr>
          <w:lang w:val="fr-FR"/>
        </w:rPr>
        <w:t>.  Dans ces conditions, la Cour considère que la déclaration unilatérale litigieuse ne constitue pas une base suffisante pour conclure que le respect des droits de l</w:t>
      </w:r>
      <w:r w:rsidR="00915031" w:rsidRPr="00915031">
        <w:rPr>
          <w:lang w:val="fr-FR"/>
        </w:rPr>
        <w:t>’</w:t>
      </w:r>
      <w:r w:rsidRPr="00915031">
        <w:rPr>
          <w:lang w:val="fr-FR"/>
        </w:rPr>
        <w:t>homme garantis par la Convention n</w:t>
      </w:r>
      <w:r w:rsidR="00915031" w:rsidRPr="00915031">
        <w:rPr>
          <w:lang w:val="fr-FR"/>
        </w:rPr>
        <w:t>’</w:t>
      </w:r>
      <w:r w:rsidRPr="00915031">
        <w:rPr>
          <w:lang w:val="fr-FR"/>
        </w:rPr>
        <w:t>exige pas la poursuite de l</w:t>
      </w:r>
      <w:r w:rsidR="00915031" w:rsidRPr="00915031">
        <w:rPr>
          <w:lang w:val="fr-FR"/>
        </w:rPr>
        <w:t>’</w:t>
      </w:r>
      <w:r w:rsidRPr="00915031">
        <w:rPr>
          <w:lang w:val="fr-FR"/>
        </w:rPr>
        <w:t>examen de la requête.</w:t>
      </w:r>
    </w:p>
    <w:p w:rsidR="00D05DBA" w:rsidRPr="00915031" w:rsidRDefault="00080074" w:rsidP="00915031">
      <w:pPr>
        <w:pStyle w:val="ECHRPara"/>
        <w:rPr>
          <w:lang w:val="fr-FR"/>
        </w:rPr>
      </w:pPr>
      <w:r w:rsidRPr="00915031">
        <w:rPr>
          <w:lang w:val="fr-FR"/>
        </w:rPr>
        <w:fldChar w:fldCharType="begin"/>
      </w:r>
      <w:r w:rsidRPr="00915031">
        <w:rPr>
          <w:lang w:val="fr-FR"/>
        </w:rPr>
        <w:instrText xml:space="preserve"> SEQ level0 \*arabic </w:instrText>
      </w:r>
      <w:r w:rsidRPr="00915031">
        <w:rPr>
          <w:lang w:val="fr-FR"/>
        </w:rPr>
        <w:fldChar w:fldCharType="separate"/>
      </w:r>
      <w:r w:rsidR="00915031" w:rsidRPr="00915031">
        <w:rPr>
          <w:noProof/>
          <w:lang w:val="fr-FR"/>
        </w:rPr>
        <w:t>27</w:t>
      </w:r>
      <w:r w:rsidRPr="00915031">
        <w:rPr>
          <w:lang w:val="fr-FR"/>
        </w:rPr>
        <w:fldChar w:fldCharType="end"/>
      </w:r>
      <w:r w:rsidRPr="00915031">
        <w:rPr>
          <w:lang w:val="fr-FR"/>
        </w:rPr>
        <w:t>.  En conclusion, la Cour rejette la demande du Gouvernement tendant à la radiation de la requête du rôle en vertu de l</w:t>
      </w:r>
      <w:r w:rsidR="00915031" w:rsidRPr="00915031">
        <w:rPr>
          <w:lang w:val="fr-FR"/>
        </w:rPr>
        <w:t>’</w:t>
      </w:r>
      <w:r w:rsidRPr="00915031">
        <w:rPr>
          <w:lang w:val="fr-FR"/>
        </w:rPr>
        <w:t>article 37 § 1 c) de la Convention et va en conséquence poursuivre l</w:t>
      </w:r>
      <w:r w:rsidR="00915031" w:rsidRPr="00915031">
        <w:rPr>
          <w:lang w:val="fr-FR"/>
        </w:rPr>
        <w:t>’</w:t>
      </w:r>
      <w:r w:rsidRPr="00915031">
        <w:rPr>
          <w:lang w:val="fr-FR"/>
        </w:rPr>
        <w:t>examen de l</w:t>
      </w:r>
      <w:r w:rsidR="00915031" w:rsidRPr="00915031">
        <w:rPr>
          <w:lang w:val="fr-FR"/>
        </w:rPr>
        <w:t>’</w:t>
      </w:r>
      <w:r w:rsidRPr="00915031">
        <w:rPr>
          <w:lang w:val="fr-FR"/>
        </w:rPr>
        <w:t xml:space="preserve">affaire sur </w:t>
      </w:r>
      <w:r w:rsidR="00E74F76" w:rsidRPr="00915031">
        <w:rPr>
          <w:lang w:val="fr-FR"/>
        </w:rPr>
        <w:t xml:space="preserve">la recevabilité et </w:t>
      </w:r>
      <w:r w:rsidRPr="00915031">
        <w:rPr>
          <w:lang w:val="fr-FR"/>
        </w:rPr>
        <w:t>le fond.</w:t>
      </w:r>
    </w:p>
    <w:p w:rsidR="00E77CB3" w:rsidRPr="00915031" w:rsidRDefault="00D05DBA" w:rsidP="00915031">
      <w:pPr>
        <w:pStyle w:val="ECHRHeading1"/>
        <w:rPr>
          <w:lang w:val="fr-FR"/>
        </w:rPr>
      </w:pPr>
      <w:r w:rsidRPr="00915031">
        <w:rPr>
          <w:lang w:val="fr-FR"/>
        </w:rPr>
        <w:t>I</w:t>
      </w:r>
      <w:r w:rsidR="00E77CB3" w:rsidRPr="00915031">
        <w:rPr>
          <w:lang w:val="fr-FR"/>
        </w:rPr>
        <w:t>I.</w:t>
      </w:r>
      <w:proofErr w:type="gramStart"/>
      <w:r w:rsidR="00E77CB3" w:rsidRPr="00915031">
        <w:rPr>
          <w:lang w:val="fr-FR"/>
        </w:rPr>
        <w:t>  </w:t>
      </w:r>
      <w:r w:rsidR="0075505F" w:rsidRPr="00915031">
        <w:rPr>
          <w:lang w:val="fr-FR"/>
        </w:rPr>
        <w:t>SUR</w:t>
      </w:r>
      <w:proofErr w:type="gramEnd"/>
      <w:r w:rsidR="0075505F" w:rsidRPr="00915031">
        <w:rPr>
          <w:lang w:val="fr-FR"/>
        </w:rPr>
        <w:t xml:space="preserve"> LA VIOLATION ALLÉGUÉE DE L</w:t>
      </w:r>
      <w:r w:rsidR="00915031" w:rsidRPr="00915031">
        <w:rPr>
          <w:lang w:val="fr-FR"/>
        </w:rPr>
        <w:t>’</w:t>
      </w:r>
      <w:r w:rsidR="0075505F" w:rsidRPr="00915031">
        <w:rPr>
          <w:lang w:val="fr-FR"/>
        </w:rPr>
        <w:t>ARTICLE 1 DU PROTOCOLE N</w:t>
      </w:r>
      <w:r w:rsidR="0075505F" w:rsidRPr="00915031">
        <w:rPr>
          <w:vertAlign w:val="superscript"/>
          <w:lang w:val="fr-FR"/>
        </w:rPr>
        <w:t>o</w:t>
      </w:r>
      <w:r w:rsidR="0075505F" w:rsidRPr="00915031">
        <w:rPr>
          <w:lang w:val="fr-FR"/>
        </w:rPr>
        <w:t xml:space="preserve"> 1</w:t>
      </w:r>
    </w:p>
    <w:p w:rsidR="00E77CB3" w:rsidRPr="00915031" w:rsidRDefault="00457B85" w:rsidP="00915031">
      <w:pPr>
        <w:pStyle w:val="ECHRPara"/>
        <w:rPr>
          <w:lang w:val="fr-FR"/>
        </w:rPr>
      </w:pPr>
      <w:r w:rsidRPr="00915031">
        <w:rPr>
          <w:lang w:val="fr-FR"/>
        </w:rPr>
        <w:fldChar w:fldCharType="begin"/>
      </w:r>
      <w:r w:rsidRPr="00915031">
        <w:rPr>
          <w:lang w:val="fr-FR"/>
        </w:rPr>
        <w:instrText xml:space="preserve"> SEQ level0 \*arabic </w:instrText>
      </w:r>
      <w:r w:rsidRPr="00915031">
        <w:rPr>
          <w:lang w:val="fr-FR"/>
        </w:rPr>
        <w:fldChar w:fldCharType="separate"/>
      </w:r>
      <w:r w:rsidR="00915031" w:rsidRPr="00915031">
        <w:rPr>
          <w:noProof/>
          <w:lang w:val="fr-FR"/>
        </w:rPr>
        <w:t>28</w:t>
      </w:r>
      <w:r w:rsidRPr="00915031">
        <w:rPr>
          <w:lang w:val="fr-FR"/>
        </w:rPr>
        <w:fldChar w:fldCharType="end"/>
      </w:r>
      <w:r w:rsidR="00E77CB3" w:rsidRPr="00915031">
        <w:rPr>
          <w:lang w:val="fr-FR"/>
        </w:rPr>
        <w:t>.  </w:t>
      </w:r>
      <w:r w:rsidR="00454B37" w:rsidRPr="00915031">
        <w:rPr>
          <w:lang w:val="fr-FR"/>
        </w:rPr>
        <w:t>Les requérants allèguent avoir été privés de leur terrain de manière incompatible avec l</w:t>
      </w:r>
      <w:r w:rsidR="00915031" w:rsidRPr="00915031">
        <w:rPr>
          <w:lang w:val="fr-FR"/>
        </w:rPr>
        <w:t>’</w:t>
      </w:r>
      <w:r w:rsidR="00454B37" w:rsidRPr="00915031">
        <w:rPr>
          <w:lang w:val="fr-FR"/>
        </w:rPr>
        <w:t>article 1 du Protocole n</w:t>
      </w:r>
      <w:r w:rsidR="00454B37" w:rsidRPr="00915031">
        <w:rPr>
          <w:vertAlign w:val="superscript"/>
          <w:lang w:val="fr-FR"/>
        </w:rPr>
        <w:t>o</w:t>
      </w:r>
      <w:r w:rsidR="00454B37" w:rsidRPr="00915031">
        <w:rPr>
          <w:lang w:val="fr-FR"/>
        </w:rPr>
        <w:t xml:space="preserve"> 1 en raison de l</w:t>
      </w:r>
      <w:r w:rsidR="00915031" w:rsidRPr="00915031">
        <w:rPr>
          <w:lang w:val="fr-FR"/>
        </w:rPr>
        <w:t>’</w:t>
      </w:r>
      <w:r w:rsidR="00454B37" w:rsidRPr="00915031">
        <w:rPr>
          <w:lang w:val="fr-FR"/>
        </w:rPr>
        <w:t>application du principe de l</w:t>
      </w:r>
      <w:r w:rsidR="00915031" w:rsidRPr="00915031">
        <w:rPr>
          <w:lang w:val="fr-FR"/>
        </w:rPr>
        <w:t>’</w:t>
      </w:r>
      <w:r w:rsidR="00454B37" w:rsidRPr="00915031">
        <w:rPr>
          <w:lang w:val="fr-FR"/>
        </w:rPr>
        <w:t>expropriation indirecte. Ils invoquent également l</w:t>
      </w:r>
      <w:r w:rsidR="00915031" w:rsidRPr="00915031">
        <w:rPr>
          <w:lang w:val="fr-FR"/>
        </w:rPr>
        <w:t>’</w:t>
      </w:r>
      <w:r w:rsidR="00454B37" w:rsidRPr="00915031">
        <w:rPr>
          <w:lang w:val="fr-FR"/>
        </w:rPr>
        <w:t>article 13 de la Convention, pris en combinaison avec l</w:t>
      </w:r>
      <w:r w:rsidR="00915031" w:rsidRPr="00915031">
        <w:rPr>
          <w:lang w:val="fr-FR"/>
        </w:rPr>
        <w:t>’</w:t>
      </w:r>
      <w:r w:rsidR="00454B37" w:rsidRPr="00915031">
        <w:rPr>
          <w:lang w:val="fr-FR"/>
        </w:rPr>
        <w:t>article 1 du Protocole n</w:t>
      </w:r>
      <w:r w:rsidR="00454B37" w:rsidRPr="00915031">
        <w:rPr>
          <w:vertAlign w:val="superscript"/>
          <w:lang w:val="fr-FR"/>
        </w:rPr>
        <w:t>o</w:t>
      </w:r>
      <w:r w:rsidR="00454B37" w:rsidRPr="00915031">
        <w:rPr>
          <w:lang w:val="fr-FR"/>
        </w:rPr>
        <w:t xml:space="preserve"> 1 sans, toutefois, arguments à l</w:t>
      </w:r>
      <w:r w:rsidR="00915031" w:rsidRPr="00915031">
        <w:rPr>
          <w:lang w:val="fr-FR"/>
        </w:rPr>
        <w:t>’</w:t>
      </w:r>
      <w:r w:rsidR="00454B37" w:rsidRPr="00915031">
        <w:rPr>
          <w:lang w:val="fr-FR"/>
        </w:rPr>
        <w:t>appui. La Cour examinera ledit grief uniquement sous l</w:t>
      </w:r>
      <w:r w:rsidR="00915031" w:rsidRPr="00915031">
        <w:rPr>
          <w:lang w:val="fr-FR"/>
        </w:rPr>
        <w:t>’</w:t>
      </w:r>
      <w:r w:rsidR="00454B37" w:rsidRPr="00915031">
        <w:rPr>
          <w:lang w:val="fr-FR"/>
        </w:rPr>
        <w:t>angle de l</w:t>
      </w:r>
      <w:r w:rsidR="00915031" w:rsidRPr="00915031">
        <w:rPr>
          <w:lang w:val="fr-FR"/>
        </w:rPr>
        <w:t>’</w:t>
      </w:r>
      <w:r w:rsidR="00454B37" w:rsidRPr="00915031">
        <w:rPr>
          <w:lang w:val="fr-FR"/>
        </w:rPr>
        <w:t>article 1 du Protocole n</w:t>
      </w:r>
      <w:r w:rsidR="00454B37" w:rsidRPr="00915031">
        <w:rPr>
          <w:vertAlign w:val="superscript"/>
          <w:lang w:val="fr-FR"/>
        </w:rPr>
        <w:t>o</w:t>
      </w:r>
      <w:r w:rsidR="00454B37" w:rsidRPr="00915031">
        <w:rPr>
          <w:lang w:val="fr-FR"/>
        </w:rPr>
        <w:t xml:space="preserve"> 1, lequel est ainsi </w:t>
      </w:r>
      <w:proofErr w:type="gramStart"/>
      <w:r w:rsidR="00454B37" w:rsidRPr="00915031">
        <w:rPr>
          <w:lang w:val="fr-FR"/>
        </w:rPr>
        <w:t>libellé</w:t>
      </w:r>
      <w:r w:rsidR="008A5449" w:rsidRPr="00915031">
        <w:rPr>
          <w:lang w:val="fr-FR"/>
        </w:rPr>
        <w:t>:</w:t>
      </w:r>
      <w:proofErr w:type="gramEnd"/>
    </w:p>
    <w:p w:rsidR="00BA02C6" w:rsidRPr="00915031" w:rsidRDefault="00BA02C6" w:rsidP="00915031">
      <w:pPr>
        <w:pStyle w:val="ECHRParaQuote"/>
        <w:rPr>
          <w:lang w:val="fr-FR"/>
        </w:rPr>
      </w:pPr>
      <w:r w:rsidRPr="00915031">
        <w:rPr>
          <w:lang w:val="fr-FR"/>
        </w:rPr>
        <w:t>« Toute personne physique ou morale a droit au respect de ses biens. Nul ne peut être privé de sa propriété que pour cause d</w:t>
      </w:r>
      <w:r w:rsidR="00915031" w:rsidRPr="00915031">
        <w:rPr>
          <w:lang w:val="fr-FR"/>
        </w:rPr>
        <w:t>’</w:t>
      </w:r>
      <w:r w:rsidRPr="00915031">
        <w:rPr>
          <w:lang w:val="fr-FR"/>
        </w:rPr>
        <w:t>utilité publique et dans les conditions prévues par la loi et les principes généraux du droit international.</w:t>
      </w:r>
    </w:p>
    <w:p w:rsidR="00E77CB3" w:rsidRPr="00915031" w:rsidRDefault="00BA02C6" w:rsidP="00915031">
      <w:pPr>
        <w:pStyle w:val="ECHRParaQuote"/>
        <w:rPr>
          <w:lang w:val="fr-FR"/>
        </w:rPr>
      </w:pPr>
      <w:r w:rsidRPr="00915031">
        <w:rPr>
          <w:lang w:val="fr-FR"/>
        </w:rPr>
        <w:t>Les dispositions précédentes ne portent pas atteinte au droit que possèdent les Etats de mettre en vigueur les lois qu</w:t>
      </w:r>
      <w:r w:rsidR="00915031" w:rsidRPr="00915031">
        <w:rPr>
          <w:lang w:val="fr-FR"/>
        </w:rPr>
        <w:t>’</w:t>
      </w:r>
      <w:r w:rsidRPr="00915031">
        <w:rPr>
          <w:lang w:val="fr-FR"/>
        </w:rPr>
        <w:t>ils jugent nécessaires pour réglementer l</w:t>
      </w:r>
      <w:r w:rsidR="00915031" w:rsidRPr="00915031">
        <w:rPr>
          <w:lang w:val="fr-FR"/>
        </w:rPr>
        <w:t>’</w:t>
      </w:r>
      <w:r w:rsidRPr="00915031">
        <w:rPr>
          <w:lang w:val="fr-FR"/>
        </w:rPr>
        <w:t>usage des biens conformément à l</w:t>
      </w:r>
      <w:r w:rsidR="00915031" w:rsidRPr="00915031">
        <w:rPr>
          <w:lang w:val="fr-FR"/>
        </w:rPr>
        <w:t>’</w:t>
      </w:r>
      <w:r w:rsidRPr="00915031">
        <w:rPr>
          <w:lang w:val="fr-FR"/>
        </w:rPr>
        <w:t>intérêt général ou pour assurer le paiement des impôts ou d</w:t>
      </w:r>
      <w:r w:rsidR="00915031" w:rsidRPr="00915031">
        <w:rPr>
          <w:lang w:val="fr-FR"/>
        </w:rPr>
        <w:t>’</w:t>
      </w:r>
      <w:r w:rsidRPr="00915031">
        <w:rPr>
          <w:lang w:val="fr-FR"/>
        </w:rPr>
        <w:t>autres contributions ou des amendes. »</w:t>
      </w:r>
    </w:p>
    <w:p w:rsidR="00E77CB3" w:rsidRPr="00915031" w:rsidRDefault="00457B85" w:rsidP="00915031">
      <w:pPr>
        <w:pStyle w:val="ECHRPara"/>
        <w:rPr>
          <w:lang w:val="fr-FR"/>
        </w:rPr>
      </w:pPr>
      <w:r w:rsidRPr="00915031">
        <w:rPr>
          <w:lang w:val="fr-FR"/>
        </w:rPr>
        <w:fldChar w:fldCharType="begin"/>
      </w:r>
      <w:r w:rsidRPr="00915031">
        <w:rPr>
          <w:lang w:val="fr-FR"/>
        </w:rPr>
        <w:instrText xml:space="preserve"> SEQ level0 \*arabic </w:instrText>
      </w:r>
      <w:r w:rsidRPr="00915031">
        <w:rPr>
          <w:lang w:val="fr-FR"/>
        </w:rPr>
        <w:fldChar w:fldCharType="separate"/>
      </w:r>
      <w:r w:rsidR="00915031" w:rsidRPr="00915031">
        <w:rPr>
          <w:noProof/>
          <w:lang w:val="fr-FR"/>
        </w:rPr>
        <w:t>29</w:t>
      </w:r>
      <w:r w:rsidRPr="00915031">
        <w:rPr>
          <w:lang w:val="fr-FR"/>
        </w:rPr>
        <w:fldChar w:fldCharType="end"/>
      </w:r>
      <w:r w:rsidR="00E77CB3" w:rsidRPr="00915031">
        <w:rPr>
          <w:lang w:val="fr-FR"/>
        </w:rPr>
        <w:t>.  Le Gouvernement s</w:t>
      </w:r>
      <w:r w:rsidR="00915031" w:rsidRPr="00915031">
        <w:rPr>
          <w:lang w:val="fr-FR"/>
        </w:rPr>
        <w:t>’</w:t>
      </w:r>
      <w:r w:rsidR="00E77CB3" w:rsidRPr="00915031">
        <w:rPr>
          <w:lang w:val="fr-FR"/>
        </w:rPr>
        <w:t>oppose à cette thèse.</w:t>
      </w:r>
    </w:p>
    <w:p w:rsidR="00E77CB3" w:rsidRPr="00915031" w:rsidRDefault="00E77CB3" w:rsidP="00915031">
      <w:pPr>
        <w:pStyle w:val="ECHRHeading2"/>
        <w:rPr>
          <w:lang w:val="fr-FR"/>
        </w:rPr>
      </w:pPr>
      <w:r w:rsidRPr="00915031">
        <w:rPr>
          <w:lang w:val="fr-FR"/>
        </w:rPr>
        <w:t>A.</w:t>
      </w:r>
      <w:proofErr w:type="gramStart"/>
      <w:r w:rsidRPr="00915031">
        <w:rPr>
          <w:lang w:val="fr-FR"/>
        </w:rPr>
        <w:t>  Sur</w:t>
      </w:r>
      <w:proofErr w:type="gramEnd"/>
      <w:r w:rsidRPr="00915031">
        <w:rPr>
          <w:lang w:val="fr-FR"/>
        </w:rPr>
        <w:t xml:space="preserve"> la recevabilité</w:t>
      </w:r>
    </w:p>
    <w:p w:rsidR="00E77CB3" w:rsidRPr="00915031" w:rsidRDefault="00457B85" w:rsidP="00915031">
      <w:pPr>
        <w:pStyle w:val="ECHRPara"/>
        <w:rPr>
          <w:lang w:val="fr-FR"/>
        </w:rPr>
      </w:pPr>
      <w:r w:rsidRPr="00915031">
        <w:rPr>
          <w:lang w:val="fr-FR"/>
        </w:rPr>
        <w:fldChar w:fldCharType="begin"/>
      </w:r>
      <w:r w:rsidRPr="00915031">
        <w:rPr>
          <w:lang w:val="fr-FR"/>
        </w:rPr>
        <w:instrText xml:space="preserve"> SEQ level0 \*arabic </w:instrText>
      </w:r>
      <w:r w:rsidRPr="00915031">
        <w:rPr>
          <w:lang w:val="fr-FR"/>
        </w:rPr>
        <w:fldChar w:fldCharType="separate"/>
      </w:r>
      <w:r w:rsidR="00915031" w:rsidRPr="00915031">
        <w:rPr>
          <w:noProof/>
          <w:lang w:val="fr-FR"/>
        </w:rPr>
        <w:t>30</w:t>
      </w:r>
      <w:r w:rsidRPr="00915031">
        <w:rPr>
          <w:lang w:val="fr-FR"/>
        </w:rPr>
        <w:fldChar w:fldCharType="end"/>
      </w:r>
      <w:r w:rsidR="00E77CB3" w:rsidRPr="00915031">
        <w:rPr>
          <w:lang w:val="fr-FR"/>
        </w:rPr>
        <w:t>.  </w:t>
      </w:r>
      <w:r w:rsidR="008D50E0" w:rsidRPr="00915031">
        <w:rPr>
          <w:lang w:val="fr-FR"/>
        </w:rPr>
        <w:t>La Cour constate que ce grief n</w:t>
      </w:r>
      <w:r w:rsidR="00915031" w:rsidRPr="00915031">
        <w:rPr>
          <w:lang w:val="fr-FR"/>
        </w:rPr>
        <w:t>’</w:t>
      </w:r>
      <w:r w:rsidR="008D50E0" w:rsidRPr="00915031">
        <w:rPr>
          <w:lang w:val="fr-FR"/>
        </w:rPr>
        <w:t>est pas manifestement mal fondé au sens de l</w:t>
      </w:r>
      <w:r w:rsidR="00915031" w:rsidRPr="00915031">
        <w:rPr>
          <w:lang w:val="fr-FR"/>
        </w:rPr>
        <w:t>’</w:t>
      </w:r>
      <w:r w:rsidR="008D50E0" w:rsidRPr="00915031">
        <w:rPr>
          <w:lang w:val="fr-FR"/>
        </w:rPr>
        <w:t>article 35 § 3 a) de la Convention. Elle relève, par ailleurs, qu</w:t>
      </w:r>
      <w:r w:rsidR="00915031" w:rsidRPr="00915031">
        <w:rPr>
          <w:lang w:val="fr-FR"/>
        </w:rPr>
        <w:t>’</w:t>
      </w:r>
      <w:r w:rsidR="008D50E0" w:rsidRPr="00915031">
        <w:rPr>
          <w:lang w:val="fr-FR"/>
        </w:rPr>
        <w:t>il ne se heurte à aucun autre motif d</w:t>
      </w:r>
      <w:r w:rsidR="00915031" w:rsidRPr="00915031">
        <w:rPr>
          <w:lang w:val="fr-FR"/>
        </w:rPr>
        <w:t>’</w:t>
      </w:r>
      <w:r w:rsidR="008D50E0" w:rsidRPr="00915031">
        <w:rPr>
          <w:lang w:val="fr-FR"/>
        </w:rPr>
        <w:t>irrecevabilité. Il convient donc de le déclarer recevable.</w:t>
      </w:r>
    </w:p>
    <w:p w:rsidR="00E77CB3" w:rsidRPr="00915031" w:rsidRDefault="00E77CB3" w:rsidP="00915031">
      <w:pPr>
        <w:pStyle w:val="ECHRHeading2"/>
        <w:rPr>
          <w:lang w:val="fr-FR"/>
        </w:rPr>
      </w:pPr>
      <w:r w:rsidRPr="00915031">
        <w:rPr>
          <w:lang w:val="fr-FR"/>
        </w:rPr>
        <w:lastRenderedPageBreak/>
        <w:t>B.</w:t>
      </w:r>
      <w:proofErr w:type="gramStart"/>
      <w:r w:rsidRPr="00915031">
        <w:rPr>
          <w:lang w:val="fr-FR"/>
        </w:rPr>
        <w:t>  Sur</w:t>
      </w:r>
      <w:proofErr w:type="gramEnd"/>
      <w:r w:rsidRPr="00915031">
        <w:rPr>
          <w:lang w:val="fr-FR"/>
        </w:rPr>
        <w:t xml:space="preserve"> le fond</w:t>
      </w:r>
    </w:p>
    <w:p w:rsidR="00492601" w:rsidRPr="00915031" w:rsidRDefault="00492601" w:rsidP="00915031">
      <w:pPr>
        <w:pStyle w:val="ECHRHeading3"/>
        <w:rPr>
          <w:lang w:val="fr-FR"/>
        </w:rPr>
      </w:pPr>
      <w:r w:rsidRPr="00915031">
        <w:rPr>
          <w:lang w:val="fr-FR"/>
        </w:rPr>
        <w:t>1.</w:t>
      </w:r>
      <w:r w:rsidR="003D1DD7" w:rsidRPr="00915031">
        <w:rPr>
          <w:lang w:val="fr-FR"/>
        </w:rPr>
        <w:t>  </w:t>
      </w:r>
      <w:r w:rsidR="003145AB" w:rsidRPr="00915031">
        <w:rPr>
          <w:lang w:val="fr-FR"/>
        </w:rPr>
        <w:t>Arguments des parties</w:t>
      </w:r>
    </w:p>
    <w:p w:rsidR="002B3E4B" w:rsidRPr="00915031" w:rsidRDefault="00C972E9" w:rsidP="00915031">
      <w:pPr>
        <w:pStyle w:val="ECHRHeading4"/>
        <w:rPr>
          <w:lang w:val="fr-FR"/>
        </w:rPr>
      </w:pPr>
      <w:r w:rsidRPr="00915031">
        <w:rPr>
          <w:lang w:val="fr-FR"/>
        </w:rPr>
        <w:t>a)</w:t>
      </w:r>
      <w:r w:rsidR="003D1DD7" w:rsidRPr="00915031">
        <w:rPr>
          <w:lang w:val="fr-FR"/>
        </w:rPr>
        <w:t>  </w:t>
      </w:r>
      <w:r w:rsidRPr="00915031">
        <w:rPr>
          <w:lang w:val="fr-FR"/>
        </w:rPr>
        <w:t>Les requérants</w:t>
      </w:r>
    </w:p>
    <w:p w:rsidR="001B34C8" w:rsidRPr="00915031" w:rsidRDefault="00457B85" w:rsidP="00915031">
      <w:pPr>
        <w:pStyle w:val="ECHRPara"/>
        <w:rPr>
          <w:lang w:val="fr-FR"/>
        </w:rPr>
      </w:pPr>
      <w:r w:rsidRPr="00915031">
        <w:rPr>
          <w:lang w:val="fr-FR"/>
        </w:rPr>
        <w:fldChar w:fldCharType="begin"/>
      </w:r>
      <w:r w:rsidRPr="00915031">
        <w:rPr>
          <w:lang w:val="fr-FR"/>
        </w:rPr>
        <w:instrText xml:space="preserve"> SEQ level0 \*arabic </w:instrText>
      </w:r>
      <w:r w:rsidRPr="00915031">
        <w:rPr>
          <w:lang w:val="fr-FR"/>
        </w:rPr>
        <w:fldChar w:fldCharType="separate"/>
      </w:r>
      <w:r w:rsidR="00915031" w:rsidRPr="00915031">
        <w:rPr>
          <w:noProof/>
          <w:lang w:val="fr-FR"/>
        </w:rPr>
        <w:t>31</w:t>
      </w:r>
      <w:r w:rsidRPr="00915031">
        <w:rPr>
          <w:lang w:val="fr-FR"/>
        </w:rPr>
        <w:fldChar w:fldCharType="end"/>
      </w:r>
      <w:r w:rsidR="00E77CB3" w:rsidRPr="00915031">
        <w:rPr>
          <w:lang w:val="fr-FR"/>
        </w:rPr>
        <w:t>.  </w:t>
      </w:r>
      <w:r w:rsidR="005A03A2" w:rsidRPr="00915031">
        <w:rPr>
          <w:lang w:val="fr-FR"/>
        </w:rPr>
        <w:t>Les requérants rappellent qu</w:t>
      </w:r>
      <w:r w:rsidR="00915031" w:rsidRPr="00915031">
        <w:rPr>
          <w:lang w:val="fr-FR"/>
        </w:rPr>
        <w:t>’</w:t>
      </w:r>
      <w:r w:rsidR="005A03A2" w:rsidRPr="00915031">
        <w:rPr>
          <w:lang w:val="fr-FR"/>
        </w:rPr>
        <w:t>ils ont été privés de leur bien en vertu du principe de l</w:t>
      </w:r>
      <w:r w:rsidR="00915031" w:rsidRPr="00915031">
        <w:rPr>
          <w:lang w:val="fr-FR"/>
        </w:rPr>
        <w:t>’</w:t>
      </w:r>
      <w:r w:rsidR="005A03A2" w:rsidRPr="00915031">
        <w:rPr>
          <w:lang w:val="fr-FR"/>
        </w:rPr>
        <w:t>expropriation indirecte, un mécanisme qui permet à l</w:t>
      </w:r>
      <w:r w:rsidR="00915031" w:rsidRPr="00915031">
        <w:rPr>
          <w:lang w:val="fr-FR"/>
        </w:rPr>
        <w:t>’</w:t>
      </w:r>
      <w:r w:rsidR="005A03A2" w:rsidRPr="00915031">
        <w:rPr>
          <w:lang w:val="fr-FR"/>
        </w:rPr>
        <w:t>autorité publique d</w:t>
      </w:r>
      <w:r w:rsidR="00915031" w:rsidRPr="00915031">
        <w:rPr>
          <w:lang w:val="fr-FR"/>
        </w:rPr>
        <w:t>’</w:t>
      </w:r>
      <w:r w:rsidR="005A03A2" w:rsidRPr="00915031">
        <w:rPr>
          <w:lang w:val="fr-FR"/>
        </w:rPr>
        <w:t>acquérir un bien en toute illégalité, ce qui est inadmissible dans un État de droit.</w:t>
      </w:r>
    </w:p>
    <w:p w:rsidR="001B34C8" w:rsidRPr="00915031" w:rsidRDefault="00F845B2" w:rsidP="00915031">
      <w:pPr>
        <w:pStyle w:val="ECHRPara"/>
        <w:rPr>
          <w:lang w:val="fr-FR"/>
        </w:rPr>
      </w:pPr>
      <w:r w:rsidRPr="00915031">
        <w:rPr>
          <w:lang w:val="fr-FR"/>
        </w:rPr>
        <w:fldChar w:fldCharType="begin"/>
      </w:r>
      <w:r w:rsidRPr="00915031">
        <w:rPr>
          <w:lang w:val="fr-FR"/>
        </w:rPr>
        <w:instrText xml:space="preserve"> SEQ level0 \*arabic </w:instrText>
      </w:r>
      <w:r w:rsidRPr="00915031">
        <w:rPr>
          <w:lang w:val="fr-FR"/>
        </w:rPr>
        <w:fldChar w:fldCharType="separate"/>
      </w:r>
      <w:r w:rsidR="00915031" w:rsidRPr="00915031">
        <w:rPr>
          <w:noProof/>
          <w:lang w:val="fr-FR"/>
        </w:rPr>
        <w:t>32</w:t>
      </w:r>
      <w:r w:rsidRPr="00915031">
        <w:rPr>
          <w:lang w:val="fr-FR"/>
        </w:rPr>
        <w:fldChar w:fldCharType="end"/>
      </w:r>
      <w:r w:rsidRPr="00915031">
        <w:rPr>
          <w:lang w:val="fr-FR"/>
        </w:rPr>
        <w:t>.  </w:t>
      </w:r>
      <w:r w:rsidR="00E52A6A" w:rsidRPr="00915031">
        <w:rPr>
          <w:lang w:val="fr-FR"/>
        </w:rPr>
        <w:t>Ils observent que seulement par l</w:t>
      </w:r>
      <w:r w:rsidR="00915031" w:rsidRPr="00915031">
        <w:rPr>
          <w:lang w:val="fr-FR"/>
        </w:rPr>
        <w:t>’</w:t>
      </w:r>
      <w:r w:rsidR="00E52A6A" w:rsidRPr="00915031">
        <w:rPr>
          <w:lang w:val="fr-FR"/>
        </w:rPr>
        <w:t>arrêt de la Cour d</w:t>
      </w:r>
      <w:r w:rsidR="00915031" w:rsidRPr="00915031">
        <w:rPr>
          <w:lang w:val="fr-FR"/>
        </w:rPr>
        <w:t>’</w:t>
      </w:r>
      <w:r w:rsidR="00E52A6A" w:rsidRPr="00915031">
        <w:rPr>
          <w:lang w:val="fr-FR"/>
        </w:rPr>
        <w:t>appel de Palerme les requérants ont eu la certitude d</w:t>
      </w:r>
      <w:r w:rsidR="00915031" w:rsidRPr="00915031">
        <w:rPr>
          <w:lang w:val="fr-FR"/>
        </w:rPr>
        <w:t>’</w:t>
      </w:r>
      <w:r w:rsidR="00E52A6A" w:rsidRPr="00915031">
        <w:rPr>
          <w:lang w:val="fr-FR"/>
        </w:rPr>
        <w:t>avoir été privés de leur bien et que le principe de l</w:t>
      </w:r>
      <w:r w:rsidR="00915031" w:rsidRPr="00915031">
        <w:rPr>
          <w:lang w:val="fr-FR"/>
        </w:rPr>
        <w:t>’</w:t>
      </w:r>
      <w:r w:rsidR="00E52A6A" w:rsidRPr="00915031">
        <w:rPr>
          <w:lang w:val="fr-FR"/>
        </w:rPr>
        <w:t>expropriation indirecte avait été appliquée. Aux yeux des requérants, cette situation ne saurait être considérée comme prévisible.</w:t>
      </w:r>
    </w:p>
    <w:p w:rsidR="00C972E9" w:rsidRPr="00915031" w:rsidRDefault="00C972E9" w:rsidP="00915031">
      <w:pPr>
        <w:pStyle w:val="ECHRHeading4"/>
        <w:rPr>
          <w:lang w:val="fr-FR"/>
        </w:rPr>
      </w:pPr>
      <w:r w:rsidRPr="00915031">
        <w:rPr>
          <w:lang w:val="fr-FR"/>
        </w:rPr>
        <w:t>b)</w:t>
      </w:r>
      <w:r w:rsidR="003D1DD7" w:rsidRPr="00915031">
        <w:rPr>
          <w:lang w:val="fr-FR"/>
        </w:rPr>
        <w:t>  </w:t>
      </w:r>
      <w:r w:rsidRPr="00915031">
        <w:rPr>
          <w:lang w:val="fr-FR"/>
        </w:rPr>
        <w:t>Le Gouvernement</w:t>
      </w:r>
    </w:p>
    <w:p w:rsidR="001B34C8" w:rsidRPr="00915031" w:rsidRDefault="00900A7A" w:rsidP="00915031">
      <w:pPr>
        <w:pStyle w:val="ECHRPara"/>
        <w:rPr>
          <w:lang w:val="fr-FR"/>
        </w:rPr>
      </w:pPr>
      <w:r w:rsidRPr="00915031">
        <w:rPr>
          <w:lang w:val="fr-FR"/>
        </w:rPr>
        <w:fldChar w:fldCharType="begin"/>
      </w:r>
      <w:r w:rsidRPr="00915031">
        <w:rPr>
          <w:lang w:val="fr-FR"/>
        </w:rPr>
        <w:instrText xml:space="preserve"> SEQ level0 \*arabic </w:instrText>
      </w:r>
      <w:r w:rsidRPr="00915031">
        <w:rPr>
          <w:lang w:val="fr-FR"/>
        </w:rPr>
        <w:fldChar w:fldCharType="separate"/>
      </w:r>
      <w:r w:rsidR="00915031" w:rsidRPr="00915031">
        <w:rPr>
          <w:noProof/>
          <w:lang w:val="fr-FR"/>
        </w:rPr>
        <w:t>33</w:t>
      </w:r>
      <w:r w:rsidRPr="00915031">
        <w:rPr>
          <w:lang w:val="fr-FR"/>
        </w:rPr>
        <w:fldChar w:fldCharType="end"/>
      </w:r>
      <w:r w:rsidRPr="00915031">
        <w:rPr>
          <w:lang w:val="fr-FR"/>
        </w:rPr>
        <w:t>. </w:t>
      </w:r>
      <w:r w:rsidR="00344B6F" w:rsidRPr="00915031">
        <w:rPr>
          <w:lang w:val="fr-FR"/>
        </w:rPr>
        <w:t> </w:t>
      </w:r>
      <w:r w:rsidRPr="00915031">
        <w:rPr>
          <w:lang w:val="fr-FR"/>
        </w:rPr>
        <w:t xml:space="preserve">Le Gouvernement prend acte de ce que la jurisprudence de la Cour, désormais </w:t>
      </w:r>
      <w:r w:rsidR="00F17527" w:rsidRPr="00915031">
        <w:rPr>
          <w:lang w:val="fr-FR"/>
        </w:rPr>
        <w:t>consolidée</w:t>
      </w:r>
      <w:r w:rsidRPr="00915031">
        <w:rPr>
          <w:lang w:val="fr-FR"/>
        </w:rPr>
        <w:t xml:space="preserve">, </w:t>
      </w:r>
      <w:r w:rsidR="006D5317" w:rsidRPr="00915031">
        <w:rPr>
          <w:lang w:val="fr-FR"/>
        </w:rPr>
        <w:t xml:space="preserve">conclut à </w:t>
      </w:r>
      <w:r w:rsidRPr="00915031">
        <w:rPr>
          <w:lang w:val="fr-FR"/>
        </w:rPr>
        <w:t>une incompatibilité du mécanisme de l</w:t>
      </w:r>
      <w:r w:rsidR="00915031" w:rsidRPr="00915031">
        <w:rPr>
          <w:lang w:val="fr-FR"/>
        </w:rPr>
        <w:t>’</w:t>
      </w:r>
      <w:r w:rsidRPr="00915031">
        <w:rPr>
          <w:lang w:val="fr-FR"/>
        </w:rPr>
        <w:t>expropriation indirecte avec le principe de légalité. Toutefois</w:t>
      </w:r>
      <w:r w:rsidR="00E440DF" w:rsidRPr="00915031">
        <w:rPr>
          <w:lang w:val="fr-FR"/>
        </w:rPr>
        <w:t xml:space="preserve">, à la lumière </w:t>
      </w:r>
      <w:r w:rsidR="005D05AE" w:rsidRPr="00915031">
        <w:rPr>
          <w:lang w:val="fr-FR"/>
        </w:rPr>
        <w:t>de l</w:t>
      </w:r>
      <w:r w:rsidR="00915031" w:rsidRPr="00915031">
        <w:rPr>
          <w:lang w:val="fr-FR"/>
        </w:rPr>
        <w:t>’</w:t>
      </w:r>
      <w:r w:rsidR="005D05AE" w:rsidRPr="00915031">
        <w:rPr>
          <w:lang w:val="fr-FR"/>
        </w:rPr>
        <w:t>arrêt de la cour d</w:t>
      </w:r>
      <w:r w:rsidR="00915031" w:rsidRPr="00915031">
        <w:rPr>
          <w:lang w:val="fr-FR"/>
        </w:rPr>
        <w:t>’</w:t>
      </w:r>
      <w:r w:rsidR="005D05AE" w:rsidRPr="00915031">
        <w:rPr>
          <w:lang w:val="fr-FR"/>
        </w:rPr>
        <w:t xml:space="preserve">appel de Palerme </w:t>
      </w:r>
      <w:r w:rsidR="00E06BF7" w:rsidRPr="00915031">
        <w:rPr>
          <w:lang w:val="fr-FR"/>
        </w:rPr>
        <w:t>déclarant qu</w:t>
      </w:r>
      <w:r w:rsidR="00915031" w:rsidRPr="00915031">
        <w:rPr>
          <w:lang w:val="fr-FR"/>
        </w:rPr>
        <w:t>’</w:t>
      </w:r>
      <w:r w:rsidR="00E06BF7" w:rsidRPr="00915031">
        <w:rPr>
          <w:lang w:val="fr-FR"/>
        </w:rPr>
        <w:t>un transfert de propriété avait eu lieu</w:t>
      </w:r>
      <w:r w:rsidR="008257AB" w:rsidRPr="00915031">
        <w:rPr>
          <w:lang w:val="fr-FR"/>
        </w:rPr>
        <w:t>, et qui est</w:t>
      </w:r>
      <w:r w:rsidR="0006438C" w:rsidRPr="00915031">
        <w:rPr>
          <w:lang w:val="fr-FR"/>
        </w:rPr>
        <w:t xml:space="preserve"> aux yeux du Gouvernement</w:t>
      </w:r>
      <w:r w:rsidR="008257AB" w:rsidRPr="00915031">
        <w:rPr>
          <w:lang w:val="fr-FR"/>
        </w:rPr>
        <w:t xml:space="preserve"> assimilable à un acte formel d</w:t>
      </w:r>
      <w:r w:rsidR="00915031" w:rsidRPr="00915031">
        <w:rPr>
          <w:lang w:val="fr-FR"/>
        </w:rPr>
        <w:t>’</w:t>
      </w:r>
      <w:r w:rsidR="008257AB" w:rsidRPr="00915031">
        <w:rPr>
          <w:lang w:val="fr-FR"/>
        </w:rPr>
        <w:t>expropriation</w:t>
      </w:r>
      <w:r w:rsidR="00E06BF7" w:rsidRPr="00915031">
        <w:rPr>
          <w:lang w:val="fr-FR"/>
        </w:rPr>
        <w:t>,</w:t>
      </w:r>
      <w:r w:rsidR="008257AB" w:rsidRPr="00915031">
        <w:rPr>
          <w:lang w:val="fr-FR"/>
        </w:rPr>
        <w:t xml:space="preserve"> </w:t>
      </w:r>
      <w:r w:rsidR="00E06BF7" w:rsidRPr="00915031">
        <w:rPr>
          <w:lang w:val="fr-FR"/>
        </w:rPr>
        <w:t>l</w:t>
      </w:r>
      <w:r w:rsidR="00915031" w:rsidRPr="00915031">
        <w:rPr>
          <w:lang w:val="fr-FR"/>
        </w:rPr>
        <w:t>’</w:t>
      </w:r>
      <w:r w:rsidR="00E06BF7" w:rsidRPr="00915031">
        <w:rPr>
          <w:lang w:val="fr-FR"/>
        </w:rPr>
        <w:t>expropriation</w:t>
      </w:r>
      <w:r w:rsidR="008257AB" w:rsidRPr="00915031">
        <w:rPr>
          <w:lang w:val="fr-FR"/>
        </w:rPr>
        <w:t xml:space="preserve"> en question</w:t>
      </w:r>
      <w:r w:rsidR="00E06BF7" w:rsidRPr="00915031">
        <w:rPr>
          <w:lang w:val="fr-FR"/>
        </w:rPr>
        <w:t xml:space="preserve"> ne pourrait plus se considérer comme étant incompatible avec le respect des biens et le principe de prééminence du droit.</w:t>
      </w:r>
    </w:p>
    <w:p w:rsidR="005A03A2" w:rsidRPr="00915031" w:rsidRDefault="0006438C" w:rsidP="00915031">
      <w:pPr>
        <w:pStyle w:val="ECHRPara"/>
        <w:rPr>
          <w:lang w:val="fr-FR"/>
        </w:rPr>
      </w:pPr>
      <w:r w:rsidRPr="00915031">
        <w:rPr>
          <w:lang w:val="fr-FR"/>
        </w:rPr>
        <w:fldChar w:fldCharType="begin"/>
      </w:r>
      <w:r w:rsidRPr="00915031">
        <w:rPr>
          <w:lang w:val="fr-FR"/>
        </w:rPr>
        <w:instrText xml:space="preserve"> SEQ level0 \*arabic </w:instrText>
      </w:r>
      <w:r w:rsidRPr="00915031">
        <w:rPr>
          <w:lang w:val="fr-FR"/>
        </w:rPr>
        <w:fldChar w:fldCharType="separate"/>
      </w:r>
      <w:r w:rsidR="00915031" w:rsidRPr="00915031">
        <w:rPr>
          <w:noProof/>
          <w:lang w:val="fr-FR"/>
        </w:rPr>
        <w:t>34</w:t>
      </w:r>
      <w:r w:rsidRPr="00915031">
        <w:rPr>
          <w:lang w:val="fr-FR"/>
        </w:rPr>
        <w:fldChar w:fldCharType="end"/>
      </w:r>
      <w:r w:rsidRPr="00915031">
        <w:rPr>
          <w:lang w:val="fr-FR"/>
        </w:rPr>
        <w:t>.  </w:t>
      </w:r>
      <w:r w:rsidR="008257AB" w:rsidRPr="00915031">
        <w:rPr>
          <w:lang w:val="fr-FR"/>
        </w:rPr>
        <w:t>Quant au dédommagement, le Gouvernement reconnaît que les paramètres appliqués dans le cas d</w:t>
      </w:r>
      <w:r w:rsidR="00915031" w:rsidRPr="00915031">
        <w:rPr>
          <w:lang w:val="fr-FR"/>
        </w:rPr>
        <w:t>’</w:t>
      </w:r>
      <w:r w:rsidR="008257AB" w:rsidRPr="00915031">
        <w:rPr>
          <w:lang w:val="fr-FR"/>
        </w:rPr>
        <w:t>espèce pose</w:t>
      </w:r>
      <w:r w:rsidR="00F570D2" w:rsidRPr="00915031">
        <w:rPr>
          <w:lang w:val="fr-FR"/>
        </w:rPr>
        <w:t>nt</w:t>
      </w:r>
      <w:r w:rsidR="008257AB" w:rsidRPr="00915031">
        <w:rPr>
          <w:lang w:val="fr-FR"/>
        </w:rPr>
        <w:t xml:space="preserve"> des problèmes</w:t>
      </w:r>
      <w:r w:rsidR="00B33888" w:rsidRPr="00915031">
        <w:rPr>
          <w:lang w:val="fr-FR"/>
        </w:rPr>
        <w:t xml:space="preserve"> de compatibilité avec la Convention</w:t>
      </w:r>
      <w:r w:rsidR="008257AB" w:rsidRPr="00915031">
        <w:rPr>
          <w:lang w:val="fr-FR"/>
        </w:rPr>
        <w:t>, car les requérants n</w:t>
      </w:r>
      <w:r w:rsidR="00915031" w:rsidRPr="00915031">
        <w:rPr>
          <w:lang w:val="fr-FR"/>
        </w:rPr>
        <w:t>’</w:t>
      </w:r>
      <w:r w:rsidR="008257AB" w:rsidRPr="00915031">
        <w:rPr>
          <w:lang w:val="fr-FR"/>
        </w:rPr>
        <w:t xml:space="preserve">ont pas été dédommagées </w:t>
      </w:r>
      <w:r w:rsidR="00C404C8" w:rsidRPr="00915031">
        <w:rPr>
          <w:lang w:val="fr-FR"/>
        </w:rPr>
        <w:t xml:space="preserve">sur la base de </w:t>
      </w:r>
      <w:r w:rsidR="008257AB" w:rsidRPr="00915031">
        <w:rPr>
          <w:lang w:val="fr-FR"/>
        </w:rPr>
        <w:t>la valeur vénale du terrain.</w:t>
      </w:r>
    </w:p>
    <w:p w:rsidR="003145AB" w:rsidRPr="00915031" w:rsidRDefault="003145AB" w:rsidP="00915031">
      <w:pPr>
        <w:pStyle w:val="ECHRHeading3"/>
        <w:rPr>
          <w:lang w:val="fr-FR"/>
        </w:rPr>
      </w:pPr>
      <w:r w:rsidRPr="00915031">
        <w:rPr>
          <w:lang w:val="fr-FR"/>
        </w:rPr>
        <w:t>2.</w:t>
      </w:r>
      <w:r w:rsidR="003D1DD7" w:rsidRPr="00915031">
        <w:rPr>
          <w:lang w:val="fr-FR"/>
        </w:rPr>
        <w:t>  </w:t>
      </w:r>
      <w:r w:rsidRPr="00915031">
        <w:rPr>
          <w:lang w:val="fr-FR"/>
        </w:rPr>
        <w:t>Appréciation de la Cour</w:t>
      </w:r>
    </w:p>
    <w:p w:rsidR="00803DE2" w:rsidRPr="00915031" w:rsidRDefault="00803DE2" w:rsidP="00915031">
      <w:pPr>
        <w:pStyle w:val="ECHRHeading4"/>
        <w:rPr>
          <w:lang w:val="fr-FR"/>
        </w:rPr>
      </w:pPr>
      <w:r w:rsidRPr="00915031">
        <w:rPr>
          <w:lang w:val="fr-FR"/>
        </w:rPr>
        <w:t>a)</w:t>
      </w:r>
      <w:r w:rsidR="003D1DD7" w:rsidRPr="00915031">
        <w:rPr>
          <w:lang w:val="fr-FR"/>
        </w:rPr>
        <w:t>  </w:t>
      </w:r>
      <w:r w:rsidRPr="00915031">
        <w:rPr>
          <w:lang w:val="fr-FR"/>
        </w:rPr>
        <w:t>Sur l</w:t>
      </w:r>
      <w:r w:rsidR="00915031" w:rsidRPr="00915031">
        <w:rPr>
          <w:lang w:val="fr-FR"/>
        </w:rPr>
        <w:t>’</w:t>
      </w:r>
      <w:r w:rsidRPr="00915031">
        <w:rPr>
          <w:lang w:val="fr-FR"/>
        </w:rPr>
        <w:t>existence d</w:t>
      </w:r>
      <w:r w:rsidR="00915031" w:rsidRPr="00915031">
        <w:rPr>
          <w:lang w:val="fr-FR"/>
        </w:rPr>
        <w:t>’</w:t>
      </w:r>
      <w:r w:rsidRPr="00915031">
        <w:rPr>
          <w:lang w:val="fr-FR"/>
        </w:rPr>
        <w:t>une ingérence</w:t>
      </w:r>
    </w:p>
    <w:p w:rsidR="00360302" w:rsidRPr="00915031" w:rsidRDefault="00360302" w:rsidP="00915031">
      <w:pPr>
        <w:pStyle w:val="ECHRPara"/>
        <w:rPr>
          <w:lang w:val="fr-FR"/>
        </w:rPr>
      </w:pPr>
      <w:r w:rsidRPr="00915031">
        <w:rPr>
          <w:lang w:val="fr-FR"/>
        </w:rPr>
        <w:fldChar w:fldCharType="begin"/>
      </w:r>
      <w:r w:rsidRPr="00915031">
        <w:rPr>
          <w:lang w:val="fr-FR"/>
        </w:rPr>
        <w:instrText xml:space="preserve"> SEQ level0 \*arabic </w:instrText>
      </w:r>
      <w:r w:rsidRPr="00915031">
        <w:rPr>
          <w:lang w:val="fr-FR"/>
        </w:rPr>
        <w:fldChar w:fldCharType="separate"/>
      </w:r>
      <w:r w:rsidR="00915031" w:rsidRPr="00915031">
        <w:rPr>
          <w:noProof/>
          <w:lang w:val="fr-FR"/>
        </w:rPr>
        <w:t>35</w:t>
      </w:r>
      <w:r w:rsidRPr="00915031">
        <w:rPr>
          <w:lang w:val="fr-FR"/>
        </w:rPr>
        <w:fldChar w:fldCharType="end"/>
      </w:r>
      <w:r w:rsidRPr="00915031">
        <w:rPr>
          <w:lang w:val="fr-FR"/>
        </w:rPr>
        <w:t>.  </w:t>
      </w:r>
      <w:proofErr w:type="gramStart"/>
      <w:r w:rsidR="001F1DFD" w:rsidRPr="00915031">
        <w:rPr>
          <w:lang w:val="fr-FR"/>
        </w:rPr>
        <w:t>La Cour renvoie à sa jurisprudence constante relative à la structure de l</w:t>
      </w:r>
      <w:r w:rsidR="00915031" w:rsidRPr="00915031">
        <w:rPr>
          <w:lang w:val="fr-FR"/>
        </w:rPr>
        <w:t>’</w:t>
      </w:r>
      <w:r w:rsidR="001F1DFD" w:rsidRPr="00915031">
        <w:rPr>
          <w:lang w:val="fr-FR"/>
        </w:rPr>
        <w:t>article 1 du Protocole n</w:t>
      </w:r>
      <w:r w:rsidR="001F1DFD" w:rsidRPr="00915031">
        <w:rPr>
          <w:vertAlign w:val="superscript"/>
          <w:lang w:val="fr-FR"/>
        </w:rPr>
        <w:t>o</w:t>
      </w:r>
      <w:r w:rsidR="001F1DFD" w:rsidRPr="00915031">
        <w:rPr>
          <w:lang w:val="fr-FR"/>
        </w:rPr>
        <w:t xml:space="preserve"> 1 à la Convention et aux trois normes distinctes que cette disposition contient </w:t>
      </w:r>
      <w:r w:rsidRPr="00915031">
        <w:rPr>
          <w:lang w:val="fr-FR"/>
        </w:rPr>
        <w:t>(</w:t>
      </w:r>
      <w:r w:rsidR="000A19C6" w:rsidRPr="00915031">
        <w:rPr>
          <w:lang w:val="fr-FR"/>
        </w:rPr>
        <w:t>voir, parmi beaucoup d</w:t>
      </w:r>
      <w:r w:rsidR="00915031" w:rsidRPr="00915031">
        <w:rPr>
          <w:lang w:val="fr-FR"/>
        </w:rPr>
        <w:t>’</w:t>
      </w:r>
      <w:r w:rsidR="000A19C6" w:rsidRPr="00915031">
        <w:rPr>
          <w:lang w:val="fr-FR"/>
        </w:rPr>
        <w:t xml:space="preserve">autres, </w:t>
      </w:r>
      <w:proofErr w:type="spellStart"/>
      <w:r w:rsidR="00915031" w:rsidRPr="00915031">
        <w:rPr>
          <w:i/>
          <w:lang w:val="fr-FR"/>
        </w:rPr>
        <w:t>Sporrong</w:t>
      </w:r>
      <w:proofErr w:type="spellEnd"/>
      <w:r w:rsidR="00915031" w:rsidRPr="00915031">
        <w:rPr>
          <w:i/>
          <w:lang w:val="fr-FR"/>
        </w:rPr>
        <w:t xml:space="preserve"> et </w:t>
      </w:r>
      <w:proofErr w:type="spellStart"/>
      <w:r w:rsidR="000A19C6" w:rsidRPr="00915031">
        <w:rPr>
          <w:i/>
          <w:lang w:val="fr-FR"/>
        </w:rPr>
        <w:t>Lönnroth</w:t>
      </w:r>
      <w:proofErr w:type="spellEnd"/>
      <w:r w:rsidR="000A19C6" w:rsidRPr="00915031">
        <w:rPr>
          <w:i/>
          <w:lang w:val="fr-FR"/>
        </w:rPr>
        <w:t xml:space="preserve"> c. Suède</w:t>
      </w:r>
      <w:r w:rsidR="000A19C6" w:rsidRPr="00915031">
        <w:rPr>
          <w:lang w:val="fr-FR"/>
        </w:rPr>
        <w:t>, 23 septembre 1982, § 61, série A n</w:t>
      </w:r>
      <w:r w:rsidR="000A19C6" w:rsidRPr="00915031">
        <w:rPr>
          <w:vertAlign w:val="superscript"/>
          <w:lang w:val="fr-FR"/>
        </w:rPr>
        <w:t>o</w:t>
      </w:r>
      <w:r w:rsidR="000A19C6" w:rsidRPr="00915031">
        <w:rPr>
          <w:lang w:val="fr-FR"/>
        </w:rPr>
        <w:t xml:space="preserve"> 52, </w:t>
      </w:r>
      <w:proofErr w:type="spellStart"/>
      <w:r w:rsidR="000A19C6" w:rsidRPr="00915031">
        <w:rPr>
          <w:i/>
          <w:lang w:val="fr-FR"/>
        </w:rPr>
        <w:t>Iatridis</w:t>
      </w:r>
      <w:proofErr w:type="spellEnd"/>
      <w:r w:rsidR="00915031" w:rsidRPr="00915031">
        <w:rPr>
          <w:i/>
          <w:lang w:val="fr-FR"/>
        </w:rPr>
        <w:t xml:space="preserve"> c. </w:t>
      </w:r>
      <w:r w:rsidR="000A19C6" w:rsidRPr="00915031">
        <w:rPr>
          <w:i/>
          <w:lang w:val="fr-FR"/>
        </w:rPr>
        <w:t>Grèce</w:t>
      </w:r>
      <w:r w:rsidR="000A19C6" w:rsidRPr="00915031">
        <w:rPr>
          <w:lang w:val="fr-FR"/>
        </w:rPr>
        <w:t xml:space="preserve"> [GC], n</w:t>
      </w:r>
      <w:r w:rsidR="000A19C6" w:rsidRPr="00915031">
        <w:rPr>
          <w:vertAlign w:val="superscript"/>
          <w:lang w:val="fr-FR"/>
        </w:rPr>
        <w:t>o</w:t>
      </w:r>
      <w:r w:rsidR="000A19C6" w:rsidRPr="00915031">
        <w:rPr>
          <w:lang w:val="fr-FR"/>
        </w:rPr>
        <w:t xml:space="preserve"> 31107/96, § 55, CEDH 1999 II, </w:t>
      </w:r>
      <w:proofErr w:type="spellStart"/>
      <w:r w:rsidR="000A19C6" w:rsidRPr="00915031">
        <w:rPr>
          <w:i/>
          <w:lang w:val="fr-FR"/>
        </w:rPr>
        <w:t>Immobiliare</w:t>
      </w:r>
      <w:proofErr w:type="spellEnd"/>
      <w:r w:rsidR="000A19C6" w:rsidRPr="00915031">
        <w:rPr>
          <w:i/>
          <w:lang w:val="fr-FR"/>
        </w:rPr>
        <w:t xml:space="preserve"> </w:t>
      </w:r>
      <w:proofErr w:type="spellStart"/>
      <w:r w:rsidR="000A19C6" w:rsidRPr="00915031">
        <w:rPr>
          <w:i/>
          <w:lang w:val="fr-FR"/>
        </w:rPr>
        <w:t>Saffi</w:t>
      </w:r>
      <w:proofErr w:type="spellEnd"/>
      <w:r w:rsidR="000A19C6" w:rsidRPr="00915031">
        <w:rPr>
          <w:i/>
          <w:lang w:val="fr-FR"/>
        </w:rPr>
        <w:t xml:space="preserve"> c. Italie</w:t>
      </w:r>
      <w:r w:rsidR="000A19C6" w:rsidRPr="00915031">
        <w:rPr>
          <w:lang w:val="fr-FR"/>
        </w:rPr>
        <w:t xml:space="preserve"> [GC], n</w:t>
      </w:r>
      <w:r w:rsidR="000A19C6" w:rsidRPr="00915031">
        <w:rPr>
          <w:vertAlign w:val="superscript"/>
          <w:lang w:val="fr-FR"/>
        </w:rPr>
        <w:t>o</w:t>
      </w:r>
      <w:r w:rsidR="00B5007E" w:rsidRPr="00915031">
        <w:rPr>
          <w:vertAlign w:val="superscript"/>
          <w:lang w:val="fr-FR"/>
        </w:rPr>
        <w:t> </w:t>
      </w:r>
      <w:r w:rsidR="000A19C6" w:rsidRPr="00915031">
        <w:rPr>
          <w:lang w:val="fr-FR"/>
        </w:rPr>
        <w:t xml:space="preserve">22774/93, § 44, CEDH 1999 V, </w:t>
      </w:r>
      <w:proofErr w:type="spellStart"/>
      <w:r w:rsidR="000A19C6" w:rsidRPr="00915031">
        <w:rPr>
          <w:i/>
          <w:lang w:val="fr-FR"/>
        </w:rPr>
        <w:t>Broniowski</w:t>
      </w:r>
      <w:proofErr w:type="spellEnd"/>
      <w:r w:rsidR="000A19C6" w:rsidRPr="00915031">
        <w:rPr>
          <w:i/>
          <w:lang w:val="fr-FR"/>
        </w:rPr>
        <w:t xml:space="preserve"> c. Pologne</w:t>
      </w:r>
      <w:r w:rsidR="000A19C6" w:rsidRPr="00915031">
        <w:rPr>
          <w:lang w:val="fr-FR"/>
        </w:rPr>
        <w:t xml:space="preserve"> [GC], n</w:t>
      </w:r>
      <w:r w:rsidR="000A19C6" w:rsidRPr="00915031">
        <w:rPr>
          <w:vertAlign w:val="superscript"/>
          <w:lang w:val="fr-FR"/>
        </w:rPr>
        <w:t>o</w:t>
      </w:r>
      <w:r w:rsidR="00B5007E" w:rsidRPr="00915031">
        <w:rPr>
          <w:vertAlign w:val="superscript"/>
          <w:lang w:val="fr-FR"/>
        </w:rPr>
        <w:t> </w:t>
      </w:r>
      <w:r w:rsidR="000A19C6" w:rsidRPr="00915031">
        <w:rPr>
          <w:lang w:val="fr-FR"/>
        </w:rPr>
        <w:t xml:space="preserve">31443/96, § 134, CEDH 2004 V, et </w:t>
      </w:r>
      <w:proofErr w:type="spellStart"/>
      <w:r w:rsidR="00915031" w:rsidRPr="00915031">
        <w:rPr>
          <w:i/>
          <w:lang w:val="fr-FR"/>
        </w:rPr>
        <w:t>Vistiņš</w:t>
      </w:r>
      <w:proofErr w:type="spellEnd"/>
      <w:r w:rsidR="00915031" w:rsidRPr="00915031">
        <w:rPr>
          <w:i/>
          <w:lang w:val="fr-FR"/>
        </w:rPr>
        <w:t xml:space="preserve"> et </w:t>
      </w:r>
      <w:proofErr w:type="spellStart"/>
      <w:r w:rsidR="00915031" w:rsidRPr="00915031">
        <w:rPr>
          <w:i/>
          <w:lang w:val="fr-FR"/>
        </w:rPr>
        <w:t>Perepjolkins</w:t>
      </w:r>
      <w:proofErr w:type="spellEnd"/>
      <w:r w:rsidR="00915031" w:rsidRPr="00915031">
        <w:rPr>
          <w:i/>
          <w:lang w:val="fr-FR"/>
        </w:rPr>
        <w:t xml:space="preserve"> c.</w:t>
      </w:r>
      <w:r w:rsidR="000A19C6" w:rsidRPr="00915031">
        <w:rPr>
          <w:i/>
          <w:lang w:val="fr-FR"/>
        </w:rPr>
        <w:t xml:space="preserve"> Lettonie</w:t>
      </w:r>
      <w:r w:rsidR="000A19C6" w:rsidRPr="00915031">
        <w:rPr>
          <w:lang w:val="fr-FR"/>
        </w:rPr>
        <w:t xml:space="preserve"> [GC], n</w:t>
      </w:r>
      <w:r w:rsidR="000A19C6" w:rsidRPr="00915031">
        <w:rPr>
          <w:vertAlign w:val="superscript"/>
          <w:lang w:val="fr-FR"/>
        </w:rPr>
        <w:t>o</w:t>
      </w:r>
      <w:r w:rsidR="000A19C6" w:rsidRPr="00915031">
        <w:rPr>
          <w:lang w:val="fr-FR"/>
        </w:rPr>
        <w:t xml:space="preserve"> 71243/01, § 93, 25 octobre 2012</w:t>
      </w:r>
      <w:r w:rsidRPr="00915031">
        <w:rPr>
          <w:lang w:val="fr-FR"/>
        </w:rPr>
        <w:t>)</w:t>
      </w:r>
      <w:r w:rsidR="001F1DFD" w:rsidRPr="00915031">
        <w:rPr>
          <w:lang w:val="fr-FR"/>
        </w:rPr>
        <w:t>.</w:t>
      </w:r>
      <w:proofErr w:type="gramEnd"/>
    </w:p>
    <w:p w:rsidR="005A03A2" w:rsidRPr="00915031" w:rsidRDefault="005A03A2" w:rsidP="00915031">
      <w:pPr>
        <w:pStyle w:val="ECHRPara"/>
        <w:rPr>
          <w:lang w:val="fr-FR"/>
        </w:rPr>
      </w:pPr>
      <w:r w:rsidRPr="00915031">
        <w:fldChar w:fldCharType="begin"/>
      </w:r>
      <w:r w:rsidRPr="00915031">
        <w:rPr>
          <w:lang w:val="fr-FR"/>
        </w:rPr>
        <w:instrText xml:space="preserve"> SEQ level0 \*arabic </w:instrText>
      </w:r>
      <w:r w:rsidRPr="00915031">
        <w:fldChar w:fldCharType="separate"/>
      </w:r>
      <w:r w:rsidR="00915031" w:rsidRPr="00915031">
        <w:rPr>
          <w:noProof/>
          <w:lang w:val="fr-FR"/>
        </w:rPr>
        <w:t>36</w:t>
      </w:r>
      <w:r w:rsidRPr="00915031">
        <w:rPr>
          <w:lang w:val="fr-FR"/>
        </w:rPr>
        <w:fldChar w:fldCharType="end"/>
      </w:r>
      <w:r w:rsidRPr="00915031">
        <w:rPr>
          <w:lang w:val="fr-FR"/>
        </w:rPr>
        <w:t>.  </w:t>
      </w:r>
      <w:r w:rsidR="00972C24" w:rsidRPr="00915031">
        <w:rPr>
          <w:lang w:val="fr-FR"/>
        </w:rPr>
        <w:t>La Cour constate que les parties s</w:t>
      </w:r>
      <w:r w:rsidR="00915031" w:rsidRPr="00915031">
        <w:rPr>
          <w:lang w:val="fr-FR"/>
        </w:rPr>
        <w:t>’</w:t>
      </w:r>
      <w:r w:rsidR="00972C24" w:rsidRPr="00915031">
        <w:rPr>
          <w:lang w:val="fr-FR"/>
        </w:rPr>
        <w:t>accordent pour dire qu</w:t>
      </w:r>
      <w:r w:rsidR="00915031" w:rsidRPr="00915031">
        <w:rPr>
          <w:lang w:val="fr-FR"/>
        </w:rPr>
        <w:t>’</w:t>
      </w:r>
      <w:r w:rsidR="00972C24" w:rsidRPr="00915031">
        <w:rPr>
          <w:lang w:val="fr-FR"/>
        </w:rPr>
        <w:t>il y a eu une « privation</w:t>
      </w:r>
      <w:r w:rsidR="006A00DB" w:rsidRPr="00915031">
        <w:rPr>
          <w:lang w:val="fr-FR"/>
        </w:rPr>
        <w:t> »</w:t>
      </w:r>
      <w:r w:rsidR="00972C24" w:rsidRPr="00915031">
        <w:rPr>
          <w:lang w:val="fr-FR"/>
        </w:rPr>
        <w:t xml:space="preserve"> de </w:t>
      </w:r>
      <w:r w:rsidR="0045464E" w:rsidRPr="00915031">
        <w:rPr>
          <w:lang w:val="fr-FR"/>
        </w:rPr>
        <w:t>propriété</w:t>
      </w:r>
      <w:r w:rsidR="00972C24" w:rsidRPr="00915031">
        <w:rPr>
          <w:lang w:val="fr-FR"/>
        </w:rPr>
        <w:t xml:space="preserve"> au sens de la deuxième phrase du premier alinéa de l</w:t>
      </w:r>
      <w:r w:rsidR="00915031" w:rsidRPr="00915031">
        <w:rPr>
          <w:lang w:val="fr-FR"/>
        </w:rPr>
        <w:t>’</w:t>
      </w:r>
      <w:r w:rsidR="00972C24" w:rsidRPr="00915031">
        <w:rPr>
          <w:lang w:val="fr-FR"/>
        </w:rPr>
        <w:t>article 1 du Protocole n</w:t>
      </w:r>
      <w:r w:rsidR="00972C24" w:rsidRPr="00915031">
        <w:rPr>
          <w:vertAlign w:val="superscript"/>
          <w:lang w:val="fr-FR"/>
        </w:rPr>
        <w:t>o</w:t>
      </w:r>
      <w:r w:rsidR="00972C24" w:rsidRPr="00915031">
        <w:rPr>
          <w:lang w:val="fr-FR"/>
        </w:rPr>
        <w:t xml:space="preserve"> 1.</w:t>
      </w:r>
    </w:p>
    <w:p w:rsidR="00C56AF5" w:rsidRPr="00915031" w:rsidRDefault="00C56AF5" w:rsidP="00915031">
      <w:pPr>
        <w:pStyle w:val="ECHRPara"/>
        <w:rPr>
          <w:lang w:val="fr-FR"/>
        </w:rPr>
      </w:pPr>
      <w:r w:rsidRPr="00915031">
        <w:rPr>
          <w:lang w:val="fr-FR"/>
        </w:rPr>
        <w:fldChar w:fldCharType="begin"/>
      </w:r>
      <w:r w:rsidRPr="00915031">
        <w:rPr>
          <w:lang w:val="fr-FR"/>
        </w:rPr>
        <w:instrText xml:space="preserve"> SEQ level0 \*arabic </w:instrText>
      </w:r>
      <w:r w:rsidRPr="00915031">
        <w:rPr>
          <w:lang w:val="fr-FR"/>
        </w:rPr>
        <w:fldChar w:fldCharType="separate"/>
      </w:r>
      <w:r w:rsidR="00915031" w:rsidRPr="00915031">
        <w:rPr>
          <w:noProof/>
          <w:lang w:val="fr-FR"/>
        </w:rPr>
        <w:t>37</w:t>
      </w:r>
      <w:r w:rsidRPr="00915031">
        <w:rPr>
          <w:lang w:val="fr-FR"/>
        </w:rPr>
        <w:fldChar w:fldCharType="end"/>
      </w:r>
      <w:r w:rsidRPr="00915031">
        <w:rPr>
          <w:lang w:val="fr-FR"/>
        </w:rPr>
        <w:t>.  La Cour doit donc rechercher si la privation dénoncée se justifie sous l</w:t>
      </w:r>
      <w:r w:rsidR="00915031" w:rsidRPr="00915031">
        <w:rPr>
          <w:lang w:val="fr-FR"/>
        </w:rPr>
        <w:t>’</w:t>
      </w:r>
      <w:r w:rsidRPr="00915031">
        <w:rPr>
          <w:lang w:val="fr-FR"/>
        </w:rPr>
        <w:t>angle de cette disposition.</w:t>
      </w:r>
    </w:p>
    <w:p w:rsidR="00803DE2" w:rsidRPr="00915031" w:rsidRDefault="00803DE2" w:rsidP="00915031">
      <w:pPr>
        <w:pStyle w:val="ECHRHeading4"/>
        <w:rPr>
          <w:lang w:val="fr-FR"/>
        </w:rPr>
      </w:pPr>
      <w:r w:rsidRPr="00915031">
        <w:rPr>
          <w:lang w:val="fr-FR"/>
        </w:rPr>
        <w:lastRenderedPageBreak/>
        <w:t>b)</w:t>
      </w:r>
      <w:r w:rsidR="003D1DD7" w:rsidRPr="00915031">
        <w:rPr>
          <w:lang w:val="fr-FR"/>
        </w:rPr>
        <w:t>  </w:t>
      </w:r>
      <w:r w:rsidR="007560CD" w:rsidRPr="00915031">
        <w:rPr>
          <w:lang w:val="fr-FR"/>
        </w:rPr>
        <w:t>Sur le respect du principe de légalité</w:t>
      </w:r>
    </w:p>
    <w:p w:rsidR="0045464E" w:rsidRPr="00915031" w:rsidRDefault="0045464E" w:rsidP="00915031">
      <w:pPr>
        <w:pStyle w:val="ECHRPara"/>
        <w:rPr>
          <w:lang w:val="fr-FR"/>
        </w:rPr>
      </w:pPr>
      <w:r w:rsidRPr="00915031">
        <w:rPr>
          <w:lang w:val="fr-FR"/>
        </w:rPr>
        <w:fldChar w:fldCharType="begin"/>
      </w:r>
      <w:r w:rsidRPr="00915031">
        <w:rPr>
          <w:lang w:val="fr-FR"/>
        </w:rPr>
        <w:instrText xml:space="preserve"> SEQ level0 \*arabic </w:instrText>
      </w:r>
      <w:r w:rsidRPr="00915031">
        <w:rPr>
          <w:lang w:val="fr-FR"/>
        </w:rPr>
        <w:fldChar w:fldCharType="separate"/>
      </w:r>
      <w:r w:rsidR="00915031" w:rsidRPr="00915031">
        <w:rPr>
          <w:noProof/>
          <w:lang w:val="fr-FR"/>
        </w:rPr>
        <w:t>38</w:t>
      </w:r>
      <w:r w:rsidRPr="00915031">
        <w:rPr>
          <w:lang w:val="fr-FR"/>
        </w:rPr>
        <w:fldChar w:fldCharType="end"/>
      </w:r>
      <w:r w:rsidRPr="00915031">
        <w:rPr>
          <w:lang w:val="fr-FR"/>
        </w:rPr>
        <w:t>.  </w:t>
      </w:r>
      <w:r w:rsidR="0098689F" w:rsidRPr="00915031">
        <w:rPr>
          <w:lang w:val="fr-FR"/>
        </w:rPr>
        <w:t>La Cour rappelle que l</w:t>
      </w:r>
      <w:r w:rsidR="00915031" w:rsidRPr="00915031">
        <w:rPr>
          <w:lang w:val="fr-FR"/>
        </w:rPr>
        <w:t>’</w:t>
      </w:r>
      <w:r w:rsidR="004336F8" w:rsidRPr="00915031">
        <w:rPr>
          <w:lang w:val="fr-FR"/>
        </w:rPr>
        <w:t>article 1 du Protocole n</w:t>
      </w:r>
      <w:r w:rsidR="004336F8" w:rsidRPr="00915031">
        <w:rPr>
          <w:vertAlign w:val="superscript"/>
          <w:lang w:val="fr-FR"/>
        </w:rPr>
        <w:t>o</w:t>
      </w:r>
      <w:r w:rsidR="004336F8" w:rsidRPr="00915031">
        <w:rPr>
          <w:lang w:val="fr-FR"/>
        </w:rPr>
        <w:t xml:space="preserve"> 1 exige, avant tout et surtout, qu</w:t>
      </w:r>
      <w:r w:rsidR="00915031" w:rsidRPr="00915031">
        <w:rPr>
          <w:lang w:val="fr-FR"/>
        </w:rPr>
        <w:t>’</w:t>
      </w:r>
      <w:r w:rsidR="004336F8" w:rsidRPr="00915031">
        <w:rPr>
          <w:lang w:val="fr-FR"/>
        </w:rPr>
        <w:t>une ingérence de l</w:t>
      </w:r>
      <w:r w:rsidR="00915031" w:rsidRPr="00915031">
        <w:rPr>
          <w:lang w:val="fr-FR"/>
        </w:rPr>
        <w:t>’</w:t>
      </w:r>
      <w:r w:rsidR="004336F8" w:rsidRPr="00915031">
        <w:rPr>
          <w:lang w:val="fr-FR"/>
        </w:rPr>
        <w:t>autorité publique dans la jouissance du droit au respect de biens soit légale : la seconde phrase du premier alinéa de cet article n</w:t>
      </w:r>
      <w:r w:rsidR="00915031" w:rsidRPr="00915031">
        <w:rPr>
          <w:lang w:val="fr-FR"/>
        </w:rPr>
        <w:t>’</w:t>
      </w:r>
      <w:r w:rsidR="004336F8" w:rsidRPr="00915031">
        <w:rPr>
          <w:lang w:val="fr-FR"/>
        </w:rPr>
        <w:t>autorise une privation de propriété que « dans les conditions prévues par la loi » ; le second alinéa reconnaît aux États le droit de réglementer l</w:t>
      </w:r>
      <w:r w:rsidR="00915031" w:rsidRPr="00915031">
        <w:rPr>
          <w:lang w:val="fr-FR"/>
        </w:rPr>
        <w:t>’</w:t>
      </w:r>
      <w:r w:rsidR="004336F8" w:rsidRPr="00915031">
        <w:rPr>
          <w:lang w:val="fr-FR"/>
        </w:rPr>
        <w:t>usage des biens en mettant en vigueur des « lois ». De plus, la prééminence du droit, l</w:t>
      </w:r>
      <w:r w:rsidR="00915031" w:rsidRPr="00915031">
        <w:rPr>
          <w:lang w:val="fr-FR"/>
        </w:rPr>
        <w:t>’</w:t>
      </w:r>
      <w:r w:rsidR="004336F8" w:rsidRPr="00915031">
        <w:rPr>
          <w:lang w:val="fr-FR"/>
        </w:rPr>
        <w:t>un des principes fondamentaux d</w:t>
      </w:r>
      <w:r w:rsidR="00915031" w:rsidRPr="00915031">
        <w:rPr>
          <w:lang w:val="fr-FR"/>
        </w:rPr>
        <w:t>’</w:t>
      </w:r>
      <w:r w:rsidR="004336F8" w:rsidRPr="00915031">
        <w:rPr>
          <w:lang w:val="fr-FR"/>
        </w:rPr>
        <w:t>une société démocratique, est inhérente à l</w:t>
      </w:r>
      <w:r w:rsidR="00915031" w:rsidRPr="00915031">
        <w:rPr>
          <w:lang w:val="fr-FR"/>
        </w:rPr>
        <w:t>’</w:t>
      </w:r>
      <w:r w:rsidR="004336F8" w:rsidRPr="00915031">
        <w:rPr>
          <w:lang w:val="fr-FR"/>
        </w:rPr>
        <w:t>ensemble des articles de la Convention (</w:t>
      </w:r>
      <w:proofErr w:type="spellStart"/>
      <w:r w:rsidR="004336F8" w:rsidRPr="00915031">
        <w:rPr>
          <w:i/>
          <w:lang w:val="fr-FR"/>
        </w:rPr>
        <w:t>Amuur</w:t>
      </w:r>
      <w:proofErr w:type="spellEnd"/>
      <w:r w:rsidR="004336F8" w:rsidRPr="00915031">
        <w:rPr>
          <w:i/>
          <w:lang w:val="fr-FR"/>
        </w:rPr>
        <w:t xml:space="preserve"> c. France</w:t>
      </w:r>
      <w:r w:rsidR="004336F8" w:rsidRPr="00915031">
        <w:rPr>
          <w:lang w:val="fr-FR"/>
        </w:rPr>
        <w:t xml:space="preserve">, 25 juin 1996, § 50, </w:t>
      </w:r>
      <w:r w:rsidR="004336F8" w:rsidRPr="00915031">
        <w:rPr>
          <w:i/>
          <w:lang w:val="fr-FR"/>
        </w:rPr>
        <w:t>Recueil des arrêts et décisions</w:t>
      </w:r>
      <w:r w:rsidR="00915031" w:rsidRPr="00915031">
        <w:rPr>
          <w:lang w:val="fr-FR"/>
        </w:rPr>
        <w:t xml:space="preserve"> 1996</w:t>
      </w:r>
      <w:r w:rsidR="00915031" w:rsidRPr="00915031">
        <w:rPr>
          <w:lang w:val="fr-FR"/>
        </w:rPr>
        <w:noBreakHyphen/>
      </w:r>
      <w:r w:rsidR="004336F8" w:rsidRPr="00915031">
        <w:rPr>
          <w:lang w:val="fr-FR"/>
        </w:rPr>
        <w:t>III</w:t>
      </w:r>
      <w:r w:rsidR="004336F8" w:rsidRPr="00915031">
        <w:rPr>
          <w:i/>
          <w:lang w:val="fr-FR"/>
        </w:rPr>
        <w:t xml:space="preserve">, </w:t>
      </w:r>
      <w:proofErr w:type="spellStart"/>
      <w:r w:rsidR="007D33AA" w:rsidRPr="00915031">
        <w:rPr>
          <w:i/>
          <w:lang w:val="fr-FR"/>
        </w:rPr>
        <w:t>Iatridis</w:t>
      </w:r>
      <w:proofErr w:type="spellEnd"/>
      <w:r w:rsidR="007D33AA" w:rsidRPr="00915031">
        <w:rPr>
          <w:i/>
          <w:lang w:val="fr-FR"/>
        </w:rPr>
        <w:t xml:space="preserve"> c. Grèce</w:t>
      </w:r>
      <w:r w:rsidR="007D33AA" w:rsidRPr="00915031">
        <w:rPr>
          <w:lang w:val="fr-FR"/>
        </w:rPr>
        <w:t xml:space="preserve"> [GC], </w:t>
      </w:r>
      <w:r w:rsidR="00FF6326" w:rsidRPr="00915031">
        <w:rPr>
          <w:lang w:val="fr-FR"/>
        </w:rPr>
        <w:t>précité,</w:t>
      </w:r>
      <w:r w:rsidR="007D33AA" w:rsidRPr="00915031">
        <w:rPr>
          <w:lang w:val="fr-FR"/>
        </w:rPr>
        <w:t xml:space="preserve"> § 58</w:t>
      </w:r>
      <w:r w:rsidR="00E41FD4" w:rsidRPr="00915031">
        <w:rPr>
          <w:lang w:val="fr-FR"/>
        </w:rPr>
        <w:t>).</w:t>
      </w:r>
    </w:p>
    <w:p w:rsidR="00574850" w:rsidRPr="00915031" w:rsidRDefault="00176738" w:rsidP="00915031">
      <w:pPr>
        <w:pStyle w:val="ECHRPara"/>
        <w:rPr>
          <w:lang w:val="fr-FR"/>
        </w:rPr>
      </w:pPr>
      <w:r w:rsidRPr="00915031">
        <w:rPr>
          <w:lang w:val="fr-FR"/>
        </w:rPr>
        <w:fldChar w:fldCharType="begin"/>
      </w:r>
      <w:r w:rsidRPr="00915031">
        <w:rPr>
          <w:lang w:val="fr-FR"/>
        </w:rPr>
        <w:instrText xml:space="preserve"> SEQ level0 \*arabic </w:instrText>
      </w:r>
      <w:r w:rsidRPr="00915031">
        <w:rPr>
          <w:lang w:val="fr-FR"/>
        </w:rPr>
        <w:fldChar w:fldCharType="separate"/>
      </w:r>
      <w:r w:rsidR="00915031" w:rsidRPr="00915031">
        <w:rPr>
          <w:noProof/>
          <w:lang w:val="fr-FR"/>
        </w:rPr>
        <w:t>39</w:t>
      </w:r>
      <w:r w:rsidRPr="00915031">
        <w:rPr>
          <w:lang w:val="fr-FR"/>
        </w:rPr>
        <w:fldChar w:fldCharType="end"/>
      </w:r>
      <w:r w:rsidRPr="00915031">
        <w:rPr>
          <w:lang w:val="fr-FR"/>
        </w:rPr>
        <w:t>.  </w:t>
      </w:r>
      <w:r w:rsidR="00744F45" w:rsidRPr="00915031">
        <w:rPr>
          <w:lang w:val="fr-FR"/>
        </w:rPr>
        <w:t>La Cour</w:t>
      </w:r>
      <w:r w:rsidR="005A03A2" w:rsidRPr="00915031">
        <w:rPr>
          <w:lang w:val="fr-FR"/>
        </w:rPr>
        <w:t xml:space="preserve"> renvoie ensuite à sa jurisprudence en matière d</w:t>
      </w:r>
      <w:r w:rsidR="00915031" w:rsidRPr="00915031">
        <w:rPr>
          <w:lang w:val="fr-FR"/>
        </w:rPr>
        <w:t>’</w:t>
      </w:r>
      <w:r w:rsidR="005A03A2" w:rsidRPr="00915031">
        <w:rPr>
          <w:lang w:val="fr-FR"/>
        </w:rPr>
        <w:t xml:space="preserve">expropriation </w:t>
      </w:r>
      <w:bookmarkStart w:id="2" w:name="HIT16"/>
      <w:bookmarkEnd w:id="2"/>
      <w:r w:rsidR="005A03A2" w:rsidRPr="00915031">
        <w:rPr>
          <w:lang w:val="fr-FR"/>
        </w:rPr>
        <w:t>indirecte (voir, parmi d</w:t>
      </w:r>
      <w:r w:rsidR="00915031" w:rsidRPr="00915031">
        <w:rPr>
          <w:lang w:val="fr-FR"/>
        </w:rPr>
        <w:t>’</w:t>
      </w:r>
      <w:r w:rsidR="005A03A2" w:rsidRPr="00915031">
        <w:rPr>
          <w:lang w:val="fr-FR"/>
        </w:rPr>
        <w:t xml:space="preserve">autres, </w:t>
      </w:r>
      <w:proofErr w:type="spellStart"/>
      <w:r w:rsidR="005A03A2" w:rsidRPr="00915031">
        <w:rPr>
          <w:i/>
          <w:iCs/>
          <w:lang w:val="fr-FR"/>
        </w:rPr>
        <w:t>Belvedere</w:t>
      </w:r>
      <w:proofErr w:type="spellEnd"/>
      <w:r w:rsidR="005A03A2" w:rsidRPr="00915031">
        <w:rPr>
          <w:i/>
          <w:iCs/>
          <w:lang w:val="fr-FR"/>
        </w:rPr>
        <w:t xml:space="preserve"> </w:t>
      </w:r>
      <w:proofErr w:type="spellStart"/>
      <w:r w:rsidR="005A03A2" w:rsidRPr="00915031">
        <w:rPr>
          <w:i/>
          <w:iCs/>
          <w:lang w:val="fr-FR"/>
        </w:rPr>
        <w:t>Alberghiera</w:t>
      </w:r>
      <w:proofErr w:type="spellEnd"/>
      <w:r w:rsidR="005A03A2" w:rsidRPr="00915031">
        <w:rPr>
          <w:i/>
          <w:iCs/>
          <w:lang w:val="fr-FR"/>
        </w:rPr>
        <w:t xml:space="preserve"> </w:t>
      </w:r>
      <w:proofErr w:type="spellStart"/>
      <w:r w:rsidR="005A03A2" w:rsidRPr="00915031">
        <w:rPr>
          <w:i/>
          <w:iCs/>
          <w:lang w:val="fr-FR"/>
        </w:rPr>
        <w:t>S.r.l</w:t>
      </w:r>
      <w:proofErr w:type="spellEnd"/>
      <w:r w:rsidR="005A03A2" w:rsidRPr="00915031">
        <w:rPr>
          <w:i/>
          <w:iCs/>
          <w:lang w:val="fr-FR"/>
        </w:rPr>
        <w:t>. c. Italie</w:t>
      </w:r>
      <w:r w:rsidR="005A03A2" w:rsidRPr="00915031">
        <w:rPr>
          <w:lang w:val="fr-FR"/>
        </w:rPr>
        <w:t>, n</w:t>
      </w:r>
      <w:r w:rsidR="005A03A2" w:rsidRPr="00915031">
        <w:rPr>
          <w:vertAlign w:val="superscript"/>
          <w:lang w:val="fr-FR"/>
        </w:rPr>
        <w:t>o </w:t>
      </w:r>
      <w:r w:rsidR="005A03A2" w:rsidRPr="00915031">
        <w:rPr>
          <w:lang w:val="fr-FR"/>
        </w:rPr>
        <w:t xml:space="preserve">31524/96, CEDH 2000-VI ; </w:t>
      </w:r>
      <w:proofErr w:type="spellStart"/>
      <w:r w:rsidR="005A03A2" w:rsidRPr="00915031">
        <w:rPr>
          <w:i/>
          <w:iCs/>
          <w:lang w:val="fr-FR"/>
        </w:rPr>
        <w:t>Scordino</w:t>
      </w:r>
      <w:proofErr w:type="spellEnd"/>
      <w:r w:rsidR="005A03A2" w:rsidRPr="00915031">
        <w:rPr>
          <w:i/>
          <w:iCs/>
          <w:lang w:val="fr-FR"/>
        </w:rPr>
        <w:t xml:space="preserve"> c. Italie (n</w:t>
      </w:r>
      <w:r w:rsidR="005A03A2" w:rsidRPr="00915031">
        <w:rPr>
          <w:i/>
          <w:iCs/>
          <w:vertAlign w:val="superscript"/>
          <w:lang w:val="fr-FR"/>
        </w:rPr>
        <w:t>o</w:t>
      </w:r>
      <w:r w:rsidR="005A03A2" w:rsidRPr="00915031">
        <w:rPr>
          <w:i/>
          <w:iCs/>
          <w:lang w:val="fr-FR"/>
        </w:rPr>
        <w:t xml:space="preserve"> 3)</w:t>
      </w:r>
      <w:r w:rsidR="005A03A2" w:rsidRPr="00915031">
        <w:rPr>
          <w:lang w:val="fr-FR"/>
        </w:rPr>
        <w:t>, n</w:t>
      </w:r>
      <w:r w:rsidR="005A03A2" w:rsidRPr="00915031">
        <w:rPr>
          <w:vertAlign w:val="superscript"/>
          <w:lang w:val="fr-FR"/>
        </w:rPr>
        <w:t>o</w:t>
      </w:r>
      <w:r w:rsidR="009E33C5" w:rsidRPr="00915031">
        <w:rPr>
          <w:vertAlign w:val="superscript"/>
          <w:lang w:val="fr-FR"/>
        </w:rPr>
        <w:t> </w:t>
      </w:r>
      <w:r w:rsidR="00915031" w:rsidRPr="00915031">
        <w:rPr>
          <w:lang w:val="fr-FR"/>
        </w:rPr>
        <w:t xml:space="preserve">43662/98, 17 mai </w:t>
      </w:r>
      <w:r w:rsidR="005A03A2" w:rsidRPr="00915031">
        <w:rPr>
          <w:lang w:val="fr-FR"/>
        </w:rPr>
        <w:t xml:space="preserve">2005, et </w:t>
      </w:r>
      <w:proofErr w:type="spellStart"/>
      <w:r w:rsidR="005A03A2" w:rsidRPr="00915031">
        <w:rPr>
          <w:i/>
          <w:iCs/>
          <w:lang w:val="fr-FR"/>
        </w:rPr>
        <w:t>Velocci</w:t>
      </w:r>
      <w:proofErr w:type="spellEnd"/>
      <w:r w:rsidR="005A03A2" w:rsidRPr="00915031">
        <w:rPr>
          <w:i/>
          <w:iCs/>
          <w:lang w:val="fr-FR"/>
        </w:rPr>
        <w:t xml:space="preserve"> c. Italie</w:t>
      </w:r>
      <w:r w:rsidR="005A03A2" w:rsidRPr="00915031">
        <w:rPr>
          <w:lang w:val="fr-FR"/>
        </w:rPr>
        <w:t>, n</w:t>
      </w:r>
      <w:r w:rsidR="005A03A2" w:rsidRPr="00915031">
        <w:rPr>
          <w:vertAlign w:val="superscript"/>
          <w:lang w:val="fr-FR"/>
        </w:rPr>
        <w:t>o</w:t>
      </w:r>
      <w:r w:rsidR="005A03A2" w:rsidRPr="00915031">
        <w:rPr>
          <w:lang w:val="fr-FR"/>
        </w:rPr>
        <w:t xml:space="preserve"> 1717/03, 18 mars 2008) </w:t>
      </w:r>
      <w:r w:rsidR="0094688E" w:rsidRPr="00915031">
        <w:rPr>
          <w:lang w:val="fr-FR"/>
        </w:rPr>
        <w:t xml:space="preserve">pour une récapitulation des principes pertinents et pour un aperçu de sa jurisprudence dans la matière, </w:t>
      </w:r>
      <w:r w:rsidR="00B85130" w:rsidRPr="00915031">
        <w:rPr>
          <w:lang w:val="fr-FR"/>
        </w:rPr>
        <w:t xml:space="preserve">notamment en ce qui concerne </w:t>
      </w:r>
      <w:r w:rsidR="001970E6" w:rsidRPr="00915031">
        <w:rPr>
          <w:lang w:val="fr-FR"/>
        </w:rPr>
        <w:t>la question du respect du principe de légalité</w:t>
      </w:r>
      <w:r w:rsidR="0094688E" w:rsidRPr="00915031">
        <w:rPr>
          <w:lang w:val="fr-FR"/>
        </w:rPr>
        <w:t xml:space="preserve"> dans cette typologie d</w:t>
      </w:r>
      <w:r w:rsidR="00915031" w:rsidRPr="00915031">
        <w:rPr>
          <w:lang w:val="fr-FR"/>
        </w:rPr>
        <w:t>’</w:t>
      </w:r>
      <w:r w:rsidR="0094688E" w:rsidRPr="00915031">
        <w:rPr>
          <w:lang w:val="fr-FR"/>
        </w:rPr>
        <w:t>affaires</w:t>
      </w:r>
      <w:r w:rsidR="001970E6" w:rsidRPr="00915031">
        <w:rPr>
          <w:lang w:val="fr-FR"/>
        </w:rPr>
        <w:t>.</w:t>
      </w:r>
    </w:p>
    <w:p w:rsidR="005A03A2" w:rsidRPr="00915031" w:rsidRDefault="005A03A2" w:rsidP="00915031">
      <w:pPr>
        <w:pStyle w:val="ECHRPara"/>
        <w:rPr>
          <w:lang w:val="fr-FR"/>
        </w:rPr>
      </w:pPr>
      <w:r w:rsidRPr="00915031">
        <w:fldChar w:fldCharType="begin"/>
      </w:r>
      <w:r w:rsidRPr="00915031">
        <w:rPr>
          <w:lang w:val="fr-FR"/>
        </w:rPr>
        <w:instrText xml:space="preserve"> SEQ level0 \*arabic </w:instrText>
      </w:r>
      <w:r w:rsidRPr="00915031">
        <w:fldChar w:fldCharType="separate"/>
      </w:r>
      <w:r w:rsidR="00915031" w:rsidRPr="00915031">
        <w:rPr>
          <w:noProof/>
          <w:lang w:val="fr-FR"/>
        </w:rPr>
        <w:t>40</w:t>
      </w:r>
      <w:r w:rsidRPr="00915031">
        <w:rPr>
          <w:lang w:val="fr-FR"/>
        </w:rPr>
        <w:fldChar w:fldCharType="end"/>
      </w:r>
      <w:r w:rsidRPr="00915031">
        <w:rPr>
          <w:lang w:val="fr-FR"/>
        </w:rPr>
        <w:t>.  Dans la présente affaire, la Cour relève qu</w:t>
      </w:r>
      <w:r w:rsidR="00915031" w:rsidRPr="00915031">
        <w:rPr>
          <w:lang w:val="fr-FR"/>
        </w:rPr>
        <w:t>’</w:t>
      </w:r>
      <w:r w:rsidRPr="00915031">
        <w:rPr>
          <w:lang w:val="fr-FR"/>
        </w:rPr>
        <w:t>en appliquant le principe de l</w:t>
      </w:r>
      <w:r w:rsidR="00915031" w:rsidRPr="00915031">
        <w:rPr>
          <w:lang w:val="fr-FR"/>
        </w:rPr>
        <w:t>’</w:t>
      </w:r>
      <w:bookmarkStart w:id="3" w:name="HIT19"/>
      <w:bookmarkEnd w:id="3"/>
      <w:r w:rsidRPr="00915031">
        <w:rPr>
          <w:lang w:val="fr-FR"/>
        </w:rPr>
        <w:t xml:space="preserve">expropriation </w:t>
      </w:r>
      <w:bookmarkStart w:id="4" w:name="HIT20"/>
      <w:bookmarkEnd w:id="4"/>
      <w:r w:rsidRPr="00915031">
        <w:rPr>
          <w:lang w:val="fr-FR"/>
        </w:rPr>
        <w:t>indirecte, les juridictions internes ont considéré les requérants privés de leur bien à compter de la date de la cessation de la période d</w:t>
      </w:r>
      <w:r w:rsidR="00915031" w:rsidRPr="00915031">
        <w:rPr>
          <w:lang w:val="fr-FR"/>
        </w:rPr>
        <w:t>’</w:t>
      </w:r>
      <w:r w:rsidRPr="00915031">
        <w:rPr>
          <w:lang w:val="fr-FR"/>
        </w:rPr>
        <w:t>occupation légitime. Or, en l</w:t>
      </w:r>
      <w:r w:rsidR="00915031" w:rsidRPr="00915031">
        <w:rPr>
          <w:lang w:val="fr-FR"/>
        </w:rPr>
        <w:t>’</w:t>
      </w:r>
      <w:r w:rsidRPr="00915031">
        <w:rPr>
          <w:lang w:val="fr-FR"/>
        </w:rPr>
        <w:t>absence d</w:t>
      </w:r>
      <w:r w:rsidR="00915031" w:rsidRPr="00915031">
        <w:rPr>
          <w:lang w:val="fr-FR"/>
        </w:rPr>
        <w:t>’</w:t>
      </w:r>
      <w:r w:rsidRPr="00915031">
        <w:rPr>
          <w:lang w:val="fr-FR"/>
        </w:rPr>
        <w:t>un acte formel d</w:t>
      </w:r>
      <w:r w:rsidR="00915031" w:rsidRPr="00915031">
        <w:rPr>
          <w:lang w:val="fr-FR"/>
        </w:rPr>
        <w:t>’</w:t>
      </w:r>
      <w:r w:rsidRPr="00915031">
        <w:rPr>
          <w:lang w:val="fr-FR"/>
        </w:rPr>
        <w:t>expropriation, la Cour estime que cette situation ne saurait être considérée comme « prévisible », puisque ce n</w:t>
      </w:r>
      <w:r w:rsidR="00915031" w:rsidRPr="00915031">
        <w:rPr>
          <w:lang w:val="fr-FR"/>
        </w:rPr>
        <w:t>’</w:t>
      </w:r>
      <w:r w:rsidRPr="00915031">
        <w:rPr>
          <w:lang w:val="fr-FR"/>
        </w:rPr>
        <w:t>est que par la décision judiciaire définitive que l</w:t>
      </w:r>
      <w:r w:rsidR="00915031" w:rsidRPr="00915031">
        <w:rPr>
          <w:lang w:val="fr-FR"/>
        </w:rPr>
        <w:t>’</w:t>
      </w:r>
      <w:r w:rsidRPr="00915031">
        <w:rPr>
          <w:lang w:val="fr-FR"/>
        </w:rPr>
        <w:t>on peut considérer le principe de l</w:t>
      </w:r>
      <w:r w:rsidR="00915031" w:rsidRPr="00915031">
        <w:rPr>
          <w:lang w:val="fr-FR"/>
        </w:rPr>
        <w:t>’</w:t>
      </w:r>
      <w:bookmarkStart w:id="5" w:name="HIT21"/>
      <w:bookmarkEnd w:id="5"/>
      <w:r w:rsidRPr="00915031">
        <w:rPr>
          <w:lang w:val="fr-FR"/>
        </w:rPr>
        <w:t xml:space="preserve">expropriation </w:t>
      </w:r>
      <w:bookmarkStart w:id="6" w:name="HIT22"/>
      <w:bookmarkEnd w:id="6"/>
      <w:r w:rsidRPr="00915031">
        <w:rPr>
          <w:lang w:val="fr-FR"/>
        </w:rPr>
        <w:t>indirecte comme ayant effectivement été appliqué et que l</w:t>
      </w:r>
      <w:r w:rsidR="00915031" w:rsidRPr="00915031">
        <w:rPr>
          <w:lang w:val="fr-FR"/>
        </w:rPr>
        <w:t>’</w:t>
      </w:r>
      <w:r w:rsidRPr="00915031">
        <w:rPr>
          <w:lang w:val="fr-FR"/>
        </w:rPr>
        <w:t>acquisition du terrain par les pouvoirs publics a été consacrée. Par conséquent, les requérants n</w:t>
      </w:r>
      <w:r w:rsidR="00915031" w:rsidRPr="00915031">
        <w:rPr>
          <w:lang w:val="fr-FR"/>
        </w:rPr>
        <w:t>’</w:t>
      </w:r>
      <w:r w:rsidRPr="00915031">
        <w:rPr>
          <w:lang w:val="fr-FR"/>
        </w:rPr>
        <w:t>ont eu la sécurité juridique concernant la privation du terrain qu</w:t>
      </w:r>
      <w:r w:rsidR="00915031" w:rsidRPr="00915031">
        <w:rPr>
          <w:lang w:val="fr-FR"/>
        </w:rPr>
        <w:t xml:space="preserve">’au plus tôt le 12 janvier </w:t>
      </w:r>
      <w:r w:rsidRPr="00915031">
        <w:rPr>
          <w:lang w:val="fr-FR"/>
        </w:rPr>
        <w:t>2004, date à laquelle le jugement de la cour d</w:t>
      </w:r>
      <w:r w:rsidR="00915031" w:rsidRPr="00915031">
        <w:rPr>
          <w:lang w:val="fr-FR"/>
        </w:rPr>
        <w:t>’</w:t>
      </w:r>
      <w:r w:rsidRPr="00915031">
        <w:rPr>
          <w:lang w:val="fr-FR"/>
        </w:rPr>
        <w:t>appel de Palerme est devenu définitif.</w:t>
      </w:r>
    </w:p>
    <w:p w:rsidR="0045464E" w:rsidRPr="00915031" w:rsidRDefault="0045464E" w:rsidP="00915031">
      <w:pPr>
        <w:pStyle w:val="ECHRPara"/>
        <w:rPr>
          <w:lang w:val="fr-FR"/>
        </w:rPr>
      </w:pPr>
      <w:r w:rsidRPr="00915031">
        <w:rPr>
          <w:lang w:val="fr-FR"/>
        </w:rPr>
        <w:fldChar w:fldCharType="begin"/>
      </w:r>
      <w:r w:rsidRPr="00915031">
        <w:rPr>
          <w:lang w:val="fr-FR"/>
        </w:rPr>
        <w:instrText xml:space="preserve"> SEQ level0 \*arabic </w:instrText>
      </w:r>
      <w:r w:rsidRPr="00915031">
        <w:rPr>
          <w:lang w:val="fr-FR"/>
        </w:rPr>
        <w:fldChar w:fldCharType="separate"/>
      </w:r>
      <w:r w:rsidR="00915031" w:rsidRPr="00915031">
        <w:rPr>
          <w:noProof/>
          <w:lang w:val="fr-FR"/>
        </w:rPr>
        <w:t>41</w:t>
      </w:r>
      <w:r w:rsidRPr="00915031">
        <w:rPr>
          <w:lang w:val="fr-FR"/>
        </w:rPr>
        <w:fldChar w:fldCharType="end"/>
      </w:r>
      <w:r w:rsidRPr="00915031">
        <w:rPr>
          <w:lang w:val="fr-FR"/>
        </w:rPr>
        <w:t>.  La Cour observe ensuite que la situation en cause a permis à l</w:t>
      </w:r>
      <w:r w:rsidR="00915031" w:rsidRPr="00915031">
        <w:rPr>
          <w:lang w:val="fr-FR"/>
        </w:rPr>
        <w:t>’</w:t>
      </w:r>
      <w:r w:rsidRPr="00915031">
        <w:rPr>
          <w:lang w:val="fr-FR"/>
        </w:rPr>
        <w:t>administration de tirer parti d</w:t>
      </w:r>
      <w:r w:rsidR="00915031" w:rsidRPr="00915031">
        <w:rPr>
          <w:lang w:val="fr-FR"/>
        </w:rPr>
        <w:t>’</w:t>
      </w:r>
      <w:r w:rsidRPr="00915031">
        <w:rPr>
          <w:lang w:val="fr-FR"/>
        </w:rPr>
        <w:t>une occupation de terrain illégale. En d</w:t>
      </w:r>
      <w:r w:rsidR="00915031" w:rsidRPr="00915031">
        <w:rPr>
          <w:lang w:val="fr-FR"/>
        </w:rPr>
        <w:t>’</w:t>
      </w:r>
      <w:r w:rsidRPr="00915031">
        <w:rPr>
          <w:lang w:val="fr-FR"/>
        </w:rPr>
        <w:t>autres termes, l</w:t>
      </w:r>
      <w:r w:rsidR="00915031" w:rsidRPr="00915031">
        <w:rPr>
          <w:lang w:val="fr-FR"/>
        </w:rPr>
        <w:t>’</w:t>
      </w:r>
      <w:r w:rsidRPr="00915031">
        <w:rPr>
          <w:lang w:val="fr-FR"/>
        </w:rPr>
        <w:t>administration a pu s</w:t>
      </w:r>
      <w:r w:rsidR="00915031" w:rsidRPr="00915031">
        <w:rPr>
          <w:lang w:val="fr-FR"/>
        </w:rPr>
        <w:t>’</w:t>
      </w:r>
      <w:r w:rsidRPr="00915031">
        <w:rPr>
          <w:lang w:val="fr-FR"/>
        </w:rPr>
        <w:t>approprier le terrain au mépris des règles régissant l</w:t>
      </w:r>
      <w:r w:rsidR="00915031" w:rsidRPr="00915031">
        <w:rPr>
          <w:lang w:val="fr-FR"/>
        </w:rPr>
        <w:t>’</w:t>
      </w:r>
      <w:r w:rsidRPr="00915031">
        <w:rPr>
          <w:lang w:val="fr-FR"/>
        </w:rPr>
        <w:t>expropriation en bonne et due forme.</w:t>
      </w:r>
    </w:p>
    <w:p w:rsidR="005A03A2" w:rsidRPr="00915031" w:rsidRDefault="005A03A2" w:rsidP="00915031">
      <w:pPr>
        <w:pStyle w:val="ECHRPara"/>
        <w:rPr>
          <w:lang w:val="fr-FR"/>
        </w:rPr>
      </w:pPr>
      <w:r w:rsidRPr="00915031">
        <w:fldChar w:fldCharType="begin"/>
      </w:r>
      <w:r w:rsidRPr="00915031">
        <w:rPr>
          <w:lang w:val="fr-FR"/>
        </w:rPr>
        <w:instrText xml:space="preserve"> SEQ level0 \*arabic </w:instrText>
      </w:r>
      <w:r w:rsidRPr="00915031">
        <w:fldChar w:fldCharType="separate"/>
      </w:r>
      <w:r w:rsidR="00915031" w:rsidRPr="00915031">
        <w:rPr>
          <w:noProof/>
          <w:lang w:val="fr-FR"/>
        </w:rPr>
        <w:t>42</w:t>
      </w:r>
      <w:r w:rsidRPr="00915031">
        <w:rPr>
          <w:lang w:val="fr-FR"/>
        </w:rPr>
        <w:fldChar w:fldCharType="end"/>
      </w:r>
      <w:r w:rsidRPr="00915031">
        <w:rPr>
          <w:lang w:val="fr-FR"/>
        </w:rPr>
        <w:t>.  </w:t>
      </w:r>
      <w:r w:rsidR="0045464E" w:rsidRPr="00915031">
        <w:rPr>
          <w:lang w:val="fr-FR"/>
        </w:rPr>
        <w:t>À la lumière de ces considérations, la Cour estime que l</w:t>
      </w:r>
      <w:r w:rsidR="00915031" w:rsidRPr="00915031">
        <w:rPr>
          <w:lang w:val="fr-FR"/>
        </w:rPr>
        <w:t>’</w:t>
      </w:r>
      <w:r w:rsidR="0045464E" w:rsidRPr="00915031">
        <w:rPr>
          <w:lang w:val="fr-FR"/>
        </w:rPr>
        <w:t>ingérence litigieuse n</w:t>
      </w:r>
      <w:r w:rsidR="00915031" w:rsidRPr="00915031">
        <w:rPr>
          <w:lang w:val="fr-FR"/>
        </w:rPr>
        <w:t>’</w:t>
      </w:r>
      <w:r w:rsidR="0045464E" w:rsidRPr="00915031">
        <w:rPr>
          <w:lang w:val="fr-FR"/>
        </w:rPr>
        <w:t>est pas compatible avec le principe de légalité et qu</w:t>
      </w:r>
      <w:r w:rsidR="00915031" w:rsidRPr="00915031">
        <w:rPr>
          <w:lang w:val="fr-FR"/>
        </w:rPr>
        <w:t>’</w:t>
      </w:r>
      <w:r w:rsidR="0045464E" w:rsidRPr="00915031">
        <w:rPr>
          <w:lang w:val="fr-FR"/>
        </w:rPr>
        <w:t>elle a donc enfreint le droit au respect des biens des requérants.</w:t>
      </w:r>
    </w:p>
    <w:p w:rsidR="00574850" w:rsidRPr="00915031" w:rsidRDefault="00EC0757" w:rsidP="00915031">
      <w:pPr>
        <w:pStyle w:val="ECHRPara"/>
        <w:rPr>
          <w:lang w:val="fr-FR"/>
        </w:rPr>
      </w:pPr>
      <w:r w:rsidRPr="00915031">
        <w:rPr>
          <w:lang w:val="fr-FR"/>
        </w:rPr>
        <w:fldChar w:fldCharType="begin"/>
      </w:r>
      <w:r w:rsidRPr="00915031">
        <w:rPr>
          <w:lang w:val="fr-FR"/>
        </w:rPr>
        <w:instrText xml:space="preserve"> SEQ level0 \*arabic </w:instrText>
      </w:r>
      <w:r w:rsidRPr="00915031">
        <w:rPr>
          <w:lang w:val="fr-FR"/>
        </w:rPr>
        <w:fldChar w:fldCharType="separate"/>
      </w:r>
      <w:r w:rsidR="00915031" w:rsidRPr="00915031">
        <w:rPr>
          <w:noProof/>
          <w:lang w:val="fr-FR"/>
        </w:rPr>
        <w:t>43</w:t>
      </w:r>
      <w:r w:rsidRPr="00915031">
        <w:rPr>
          <w:lang w:val="fr-FR"/>
        </w:rPr>
        <w:fldChar w:fldCharType="end"/>
      </w:r>
      <w:r w:rsidRPr="00915031">
        <w:rPr>
          <w:lang w:val="fr-FR"/>
        </w:rPr>
        <w:t>.</w:t>
      </w:r>
      <w:r w:rsidR="00344B6F" w:rsidRPr="00915031">
        <w:rPr>
          <w:lang w:val="fr-FR"/>
        </w:rPr>
        <w:t> </w:t>
      </w:r>
      <w:r w:rsidRPr="00915031">
        <w:rPr>
          <w:lang w:val="fr-FR"/>
        </w:rPr>
        <w:t> </w:t>
      </w:r>
      <w:r w:rsidR="00ED7E10" w:rsidRPr="00915031">
        <w:rPr>
          <w:lang w:val="fr-FR"/>
        </w:rPr>
        <w:t>Dès lors, il y a eu violation de l</w:t>
      </w:r>
      <w:r w:rsidR="00915031" w:rsidRPr="00915031">
        <w:rPr>
          <w:lang w:val="fr-FR"/>
        </w:rPr>
        <w:t>’</w:t>
      </w:r>
      <w:r w:rsidR="00ED7E10" w:rsidRPr="00915031">
        <w:rPr>
          <w:lang w:val="fr-FR"/>
        </w:rPr>
        <w:t>article 1 du Protocole n</w:t>
      </w:r>
      <w:r w:rsidR="00ED7E10" w:rsidRPr="00915031">
        <w:rPr>
          <w:vertAlign w:val="superscript"/>
          <w:lang w:val="fr-FR"/>
        </w:rPr>
        <w:t>o</w:t>
      </w:r>
      <w:r w:rsidR="00ED7E10" w:rsidRPr="00915031">
        <w:rPr>
          <w:lang w:val="fr-FR"/>
        </w:rPr>
        <w:t xml:space="preserve"> 1.</w:t>
      </w:r>
    </w:p>
    <w:p w:rsidR="00E77CB3" w:rsidRPr="00915031" w:rsidRDefault="00FA34DD" w:rsidP="00915031">
      <w:pPr>
        <w:pStyle w:val="ECHRHeading1"/>
        <w:rPr>
          <w:lang w:val="fr-FR"/>
        </w:rPr>
      </w:pPr>
      <w:r w:rsidRPr="00915031">
        <w:rPr>
          <w:lang w:val="fr-FR"/>
        </w:rPr>
        <w:t>II</w:t>
      </w:r>
      <w:r w:rsidR="008D4B80" w:rsidRPr="00915031">
        <w:rPr>
          <w:lang w:val="fr-FR"/>
        </w:rPr>
        <w:t>I</w:t>
      </w:r>
      <w:r w:rsidR="00E77CB3" w:rsidRPr="00915031">
        <w:rPr>
          <w:lang w:val="fr-FR"/>
        </w:rPr>
        <w:t>.</w:t>
      </w:r>
      <w:proofErr w:type="gramStart"/>
      <w:r w:rsidR="00E77CB3" w:rsidRPr="00915031">
        <w:rPr>
          <w:lang w:val="fr-FR"/>
        </w:rPr>
        <w:t>  </w:t>
      </w:r>
      <w:r w:rsidR="00BF2B56" w:rsidRPr="00915031">
        <w:rPr>
          <w:lang w:val="fr-FR"/>
        </w:rPr>
        <w:t>SUR</w:t>
      </w:r>
      <w:proofErr w:type="gramEnd"/>
      <w:r w:rsidR="00BF2B56" w:rsidRPr="00915031">
        <w:rPr>
          <w:lang w:val="fr-FR"/>
        </w:rPr>
        <w:t xml:space="preserve"> LA VIOLATION ALLÉGUÉE DE L</w:t>
      </w:r>
      <w:r w:rsidR="00915031" w:rsidRPr="00915031">
        <w:rPr>
          <w:lang w:val="fr-FR"/>
        </w:rPr>
        <w:t>’</w:t>
      </w:r>
      <w:r w:rsidR="00BF2B56" w:rsidRPr="00915031">
        <w:rPr>
          <w:lang w:val="fr-FR"/>
        </w:rPr>
        <w:t>ARTICLE 6 § 1 DE LA CONVENTION</w:t>
      </w:r>
    </w:p>
    <w:p w:rsidR="00BA4284" w:rsidRPr="00915031" w:rsidRDefault="00457B85" w:rsidP="00915031">
      <w:pPr>
        <w:pStyle w:val="ECHRPara"/>
        <w:rPr>
          <w:lang w:val="fr-FR"/>
        </w:rPr>
      </w:pPr>
      <w:r w:rsidRPr="00915031">
        <w:rPr>
          <w:lang w:val="fr-FR"/>
        </w:rPr>
        <w:fldChar w:fldCharType="begin"/>
      </w:r>
      <w:r w:rsidRPr="00915031">
        <w:rPr>
          <w:lang w:val="fr-FR"/>
        </w:rPr>
        <w:instrText xml:space="preserve"> SEQ level0 \*arabic </w:instrText>
      </w:r>
      <w:r w:rsidRPr="00915031">
        <w:rPr>
          <w:lang w:val="fr-FR"/>
        </w:rPr>
        <w:fldChar w:fldCharType="separate"/>
      </w:r>
      <w:r w:rsidR="00915031" w:rsidRPr="00915031">
        <w:rPr>
          <w:noProof/>
          <w:lang w:val="fr-FR"/>
        </w:rPr>
        <w:t>44</w:t>
      </w:r>
      <w:r w:rsidRPr="00915031">
        <w:rPr>
          <w:lang w:val="fr-FR"/>
        </w:rPr>
        <w:fldChar w:fldCharType="end"/>
      </w:r>
      <w:r w:rsidR="00E77CB3" w:rsidRPr="00915031">
        <w:rPr>
          <w:lang w:val="fr-FR"/>
        </w:rPr>
        <w:t>.  </w:t>
      </w:r>
      <w:r w:rsidR="00BA4284" w:rsidRPr="00915031">
        <w:rPr>
          <w:lang w:val="fr-FR"/>
        </w:rPr>
        <w:t>Les requérants se plaignent de l</w:t>
      </w:r>
      <w:r w:rsidR="00915031" w:rsidRPr="00915031">
        <w:rPr>
          <w:lang w:val="fr-FR"/>
        </w:rPr>
        <w:t>’</w:t>
      </w:r>
      <w:r w:rsidR="00BA4284" w:rsidRPr="00915031">
        <w:rPr>
          <w:lang w:val="fr-FR"/>
        </w:rPr>
        <w:t>absence d</w:t>
      </w:r>
      <w:r w:rsidR="00915031" w:rsidRPr="00915031">
        <w:rPr>
          <w:lang w:val="fr-FR"/>
        </w:rPr>
        <w:t>’</w:t>
      </w:r>
      <w:r w:rsidR="00BA4284" w:rsidRPr="00915031">
        <w:rPr>
          <w:lang w:val="fr-FR"/>
        </w:rPr>
        <w:t>équité de la procédure. Ils font valoir qu</w:t>
      </w:r>
      <w:r w:rsidR="00915031" w:rsidRPr="00915031">
        <w:rPr>
          <w:lang w:val="fr-FR"/>
        </w:rPr>
        <w:t>’</w:t>
      </w:r>
      <w:r w:rsidR="00BA4284" w:rsidRPr="00915031">
        <w:rPr>
          <w:lang w:val="fr-FR"/>
        </w:rPr>
        <w:t>ils n</w:t>
      </w:r>
      <w:r w:rsidR="00915031" w:rsidRPr="00915031">
        <w:rPr>
          <w:lang w:val="fr-FR"/>
        </w:rPr>
        <w:t>’</w:t>
      </w:r>
      <w:r w:rsidR="00BA4284" w:rsidRPr="00915031">
        <w:rPr>
          <w:lang w:val="fr-FR"/>
        </w:rPr>
        <w:t xml:space="preserve">ont pas pu être dédommagés </w:t>
      </w:r>
      <w:r w:rsidR="000918B6" w:rsidRPr="00915031">
        <w:rPr>
          <w:lang w:val="fr-FR"/>
        </w:rPr>
        <w:t>sur la base</w:t>
      </w:r>
      <w:r w:rsidR="00BA4284" w:rsidRPr="00915031">
        <w:rPr>
          <w:lang w:val="fr-FR"/>
        </w:rPr>
        <w:t xml:space="preserve"> de la valeur </w:t>
      </w:r>
      <w:r w:rsidR="00BA4284" w:rsidRPr="00915031">
        <w:rPr>
          <w:lang w:val="fr-FR"/>
        </w:rPr>
        <w:lastRenderedPageBreak/>
        <w:t>vénale du terrain en raison de l</w:t>
      </w:r>
      <w:r w:rsidR="00915031" w:rsidRPr="00915031">
        <w:rPr>
          <w:lang w:val="fr-FR"/>
        </w:rPr>
        <w:t>’</w:t>
      </w:r>
      <w:r w:rsidR="00BA4284" w:rsidRPr="00915031">
        <w:rPr>
          <w:lang w:val="fr-FR"/>
        </w:rPr>
        <w:t>application de la loi n</w:t>
      </w:r>
      <w:r w:rsidR="00BA4284" w:rsidRPr="00915031">
        <w:rPr>
          <w:vertAlign w:val="superscript"/>
          <w:lang w:val="fr-FR"/>
        </w:rPr>
        <w:t>o</w:t>
      </w:r>
      <w:r w:rsidR="00BA4284" w:rsidRPr="00915031">
        <w:rPr>
          <w:lang w:val="fr-FR"/>
        </w:rPr>
        <w:t xml:space="preserve"> 662 de 1996, entrée en vigueur en cours de procédure.</w:t>
      </w:r>
    </w:p>
    <w:p w:rsidR="00BA4284" w:rsidRPr="00915031" w:rsidRDefault="00BA4284" w:rsidP="00915031">
      <w:pPr>
        <w:pStyle w:val="ECHRPara"/>
        <w:rPr>
          <w:lang w:val="fr-FR"/>
        </w:rPr>
      </w:pPr>
      <w:r w:rsidRPr="00915031">
        <w:rPr>
          <w:lang w:val="fr-FR"/>
        </w:rPr>
        <w:fldChar w:fldCharType="begin"/>
      </w:r>
      <w:r w:rsidRPr="00915031">
        <w:rPr>
          <w:lang w:val="fr-FR"/>
        </w:rPr>
        <w:instrText xml:space="preserve"> SEQ level0 \*arabic </w:instrText>
      </w:r>
      <w:r w:rsidRPr="00915031">
        <w:rPr>
          <w:lang w:val="fr-FR"/>
        </w:rPr>
        <w:fldChar w:fldCharType="separate"/>
      </w:r>
      <w:r w:rsidR="00915031" w:rsidRPr="00915031">
        <w:rPr>
          <w:noProof/>
          <w:lang w:val="fr-FR"/>
        </w:rPr>
        <w:t>45</w:t>
      </w:r>
      <w:r w:rsidRPr="00915031">
        <w:rPr>
          <w:lang w:val="fr-FR"/>
        </w:rPr>
        <w:fldChar w:fldCharType="end"/>
      </w:r>
      <w:r w:rsidRPr="00915031">
        <w:rPr>
          <w:lang w:val="fr-FR"/>
        </w:rPr>
        <w:t>.  Ils invoquent l</w:t>
      </w:r>
      <w:r w:rsidR="00915031" w:rsidRPr="00915031">
        <w:rPr>
          <w:lang w:val="fr-FR"/>
        </w:rPr>
        <w:t>’</w:t>
      </w:r>
      <w:r w:rsidRPr="00915031">
        <w:rPr>
          <w:lang w:val="fr-FR"/>
        </w:rPr>
        <w:t>article 6 § 1 de la Convention, qui dans ses passages pertinents dispose :</w:t>
      </w:r>
    </w:p>
    <w:p w:rsidR="00981C21" w:rsidRPr="00915031" w:rsidRDefault="00981C21" w:rsidP="00915031">
      <w:pPr>
        <w:pStyle w:val="ECHRParaQuote"/>
        <w:rPr>
          <w:lang w:val="fr-FR"/>
        </w:rPr>
      </w:pPr>
      <w:r w:rsidRPr="00915031">
        <w:rPr>
          <w:lang w:val="fr-FR"/>
        </w:rPr>
        <w:t>« Toute personne a droit à ce que sa cause soit entendue équitablement (...) par un tribunal (...), qui décidera (...) des contestations sur ses droits et obligations de caractère civil (...)</w:t>
      </w:r>
      <w:r w:rsidR="005B3896" w:rsidRPr="00915031">
        <w:rPr>
          <w:lang w:val="fr-FR"/>
        </w:rPr>
        <w:t>.</w:t>
      </w:r>
      <w:r w:rsidRPr="00915031">
        <w:rPr>
          <w:lang w:val="fr-FR"/>
        </w:rPr>
        <w:t> »</w:t>
      </w:r>
    </w:p>
    <w:p w:rsidR="00BA4284" w:rsidRPr="00915031" w:rsidRDefault="00BA4284" w:rsidP="00915031">
      <w:pPr>
        <w:pStyle w:val="ECHRPara"/>
        <w:rPr>
          <w:lang w:val="fr-FR"/>
        </w:rPr>
      </w:pPr>
      <w:r w:rsidRPr="00915031">
        <w:rPr>
          <w:lang w:val="fr-FR"/>
        </w:rPr>
        <w:fldChar w:fldCharType="begin"/>
      </w:r>
      <w:r w:rsidRPr="00915031">
        <w:rPr>
          <w:lang w:val="fr-FR"/>
        </w:rPr>
        <w:instrText xml:space="preserve"> SEQ level0 \*arabic </w:instrText>
      </w:r>
      <w:r w:rsidRPr="00915031">
        <w:rPr>
          <w:lang w:val="fr-FR"/>
        </w:rPr>
        <w:fldChar w:fldCharType="separate"/>
      </w:r>
      <w:r w:rsidR="00915031" w:rsidRPr="00915031">
        <w:rPr>
          <w:noProof/>
          <w:lang w:val="fr-FR"/>
        </w:rPr>
        <w:t>46</w:t>
      </w:r>
      <w:r w:rsidRPr="00915031">
        <w:rPr>
          <w:lang w:val="fr-FR"/>
        </w:rPr>
        <w:fldChar w:fldCharType="end"/>
      </w:r>
      <w:r w:rsidRPr="00915031">
        <w:rPr>
          <w:lang w:val="fr-FR"/>
        </w:rPr>
        <w:t>.  La Cour relève que ce grief est lié à celui examiné ci-dessus et doit donc aussi être déclaré recevable.</w:t>
      </w:r>
    </w:p>
    <w:p w:rsidR="00BA4284" w:rsidRPr="00915031" w:rsidRDefault="00BA4284" w:rsidP="00915031">
      <w:pPr>
        <w:pStyle w:val="ECHRPara"/>
        <w:rPr>
          <w:lang w:val="fr-FR"/>
        </w:rPr>
      </w:pPr>
      <w:r w:rsidRPr="00915031">
        <w:rPr>
          <w:lang w:val="fr-FR"/>
        </w:rPr>
        <w:fldChar w:fldCharType="begin"/>
      </w:r>
      <w:r w:rsidRPr="00915031">
        <w:rPr>
          <w:lang w:val="fr-FR"/>
        </w:rPr>
        <w:instrText xml:space="preserve"> SEQ level0 \*arabic </w:instrText>
      </w:r>
      <w:r w:rsidRPr="00915031">
        <w:rPr>
          <w:lang w:val="fr-FR"/>
        </w:rPr>
        <w:fldChar w:fldCharType="separate"/>
      </w:r>
      <w:r w:rsidR="00915031" w:rsidRPr="00915031">
        <w:rPr>
          <w:noProof/>
          <w:lang w:val="fr-FR"/>
        </w:rPr>
        <w:t>47</w:t>
      </w:r>
      <w:r w:rsidRPr="00915031">
        <w:rPr>
          <w:lang w:val="fr-FR"/>
        </w:rPr>
        <w:fldChar w:fldCharType="end"/>
      </w:r>
      <w:r w:rsidRPr="00915031">
        <w:rPr>
          <w:lang w:val="fr-FR"/>
        </w:rPr>
        <w:t>.  La Cour vient de constater, sous l</w:t>
      </w:r>
      <w:r w:rsidR="00915031" w:rsidRPr="00915031">
        <w:rPr>
          <w:lang w:val="fr-FR"/>
        </w:rPr>
        <w:t>’</w:t>
      </w:r>
      <w:r w:rsidRPr="00915031">
        <w:rPr>
          <w:lang w:val="fr-FR"/>
        </w:rPr>
        <w:t>angle de l</w:t>
      </w:r>
      <w:r w:rsidR="00915031" w:rsidRPr="00915031">
        <w:rPr>
          <w:lang w:val="fr-FR"/>
        </w:rPr>
        <w:t>’</w:t>
      </w:r>
      <w:r w:rsidRPr="00915031">
        <w:rPr>
          <w:lang w:val="fr-FR"/>
        </w:rPr>
        <w:t>article 1 du Protocole</w:t>
      </w:r>
      <w:r w:rsidR="00FE2D26" w:rsidRPr="00915031">
        <w:rPr>
          <w:lang w:val="fr-FR"/>
        </w:rPr>
        <w:t> </w:t>
      </w:r>
      <w:r w:rsidRPr="00915031">
        <w:rPr>
          <w:lang w:val="fr-FR"/>
        </w:rPr>
        <w:t>n</w:t>
      </w:r>
      <w:r w:rsidRPr="00915031">
        <w:rPr>
          <w:vertAlign w:val="superscript"/>
          <w:lang w:val="fr-FR"/>
        </w:rPr>
        <w:t>o </w:t>
      </w:r>
      <w:r w:rsidRPr="00915031">
        <w:rPr>
          <w:lang w:val="fr-FR"/>
        </w:rPr>
        <w:t>1, que la situation dénoncée par les requérants n</w:t>
      </w:r>
      <w:r w:rsidR="00915031" w:rsidRPr="00915031">
        <w:rPr>
          <w:lang w:val="fr-FR"/>
        </w:rPr>
        <w:t>’</w:t>
      </w:r>
      <w:r w:rsidRPr="00915031">
        <w:rPr>
          <w:lang w:val="fr-FR"/>
        </w:rPr>
        <w:t>est pas conforme au principe de légalité. Eu égard aux motifs l</w:t>
      </w:r>
      <w:r w:rsidR="00915031" w:rsidRPr="00915031">
        <w:rPr>
          <w:lang w:val="fr-FR"/>
        </w:rPr>
        <w:t>’</w:t>
      </w:r>
      <w:r w:rsidRPr="00915031">
        <w:rPr>
          <w:lang w:val="fr-FR"/>
        </w:rPr>
        <w:t>ayant amenée à ce constat de violation, elle estime qu</w:t>
      </w:r>
      <w:r w:rsidR="00915031" w:rsidRPr="00915031">
        <w:rPr>
          <w:lang w:val="fr-FR"/>
        </w:rPr>
        <w:t>’</w:t>
      </w:r>
      <w:r w:rsidRPr="00915031">
        <w:rPr>
          <w:lang w:val="fr-FR"/>
        </w:rPr>
        <w:t>il n</w:t>
      </w:r>
      <w:r w:rsidR="00915031" w:rsidRPr="00915031">
        <w:rPr>
          <w:lang w:val="fr-FR"/>
        </w:rPr>
        <w:t>’</w:t>
      </w:r>
      <w:r w:rsidRPr="00915031">
        <w:rPr>
          <w:lang w:val="fr-FR"/>
        </w:rPr>
        <w:t>y a pas lieu d</w:t>
      </w:r>
      <w:r w:rsidR="00915031" w:rsidRPr="00915031">
        <w:rPr>
          <w:lang w:val="fr-FR"/>
        </w:rPr>
        <w:t>’</w:t>
      </w:r>
      <w:r w:rsidRPr="00915031">
        <w:rPr>
          <w:lang w:val="fr-FR"/>
        </w:rPr>
        <w:t>examiner séparément s</w:t>
      </w:r>
      <w:r w:rsidR="00915031" w:rsidRPr="00915031">
        <w:rPr>
          <w:lang w:val="fr-FR"/>
        </w:rPr>
        <w:t>’</w:t>
      </w:r>
      <w:r w:rsidRPr="00915031">
        <w:rPr>
          <w:lang w:val="fr-FR"/>
        </w:rPr>
        <w:t>il y a eu, en l</w:t>
      </w:r>
      <w:r w:rsidR="00915031" w:rsidRPr="00915031">
        <w:rPr>
          <w:lang w:val="fr-FR"/>
        </w:rPr>
        <w:t>’</w:t>
      </w:r>
      <w:r w:rsidRPr="00915031">
        <w:rPr>
          <w:lang w:val="fr-FR"/>
        </w:rPr>
        <w:t>espèce, violation de l</w:t>
      </w:r>
      <w:r w:rsidR="00915031" w:rsidRPr="00915031">
        <w:rPr>
          <w:lang w:val="fr-FR"/>
        </w:rPr>
        <w:t>’</w:t>
      </w:r>
      <w:r w:rsidRPr="00915031">
        <w:rPr>
          <w:lang w:val="fr-FR"/>
        </w:rPr>
        <w:t xml:space="preserve">article 6 § 1 (voir </w:t>
      </w:r>
      <w:proofErr w:type="spellStart"/>
      <w:r w:rsidR="00915031" w:rsidRPr="00915031">
        <w:rPr>
          <w:i/>
          <w:lang w:val="fr-FR"/>
        </w:rPr>
        <w:t>Macrì</w:t>
      </w:r>
      <w:proofErr w:type="spellEnd"/>
      <w:r w:rsidR="00915031" w:rsidRPr="00915031">
        <w:rPr>
          <w:i/>
          <w:lang w:val="fr-FR"/>
        </w:rPr>
        <w:t xml:space="preserve"> et autres </w:t>
      </w:r>
      <w:r w:rsidRPr="00915031">
        <w:rPr>
          <w:i/>
          <w:lang w:val="fr-FR"/>
        </w:rPr>
        <w:t>c.</w:t>
      </w:r>
      <w:r w:rsidR="00FA73C8" w:rsidRPr="00915031">
        <w:rPr>
          <w:i/>
          <w:lang w:val="fr-FR"/>
        </w:rPr>
        <w:t> </w:t>
      </w:r>
      <w:r w:rsidRPr="00915031">
        <w:rPr>
          <w:i/>
          <w:lang w:val="fr-FR"/>
        </w:rPr>
        <w:t>Italie</w:t>
      </w:r>
      <w:r w:rsidRPr="00915031">
        <w:rPr>
          <w:lang w:val="fr-FR"/>
        </w:rPr>
        <w:t xml:space="preserve">, précité, § 49 ; </w:t>
      </w:r>
      <w:r w:rsidRPr="00915031">
        <w:rPr>
          <w:i/>
          <w:lang w:val="fr-FR"/>
        </w:rPr>
        <w:t xml:space="preserve">Rivera et di </w:t>
      </w:r>
      <w:proofErr w:type="spellStart"/>
      <w:r w:rsidRPr="00915031">
        <w:rPr>
          <w:i/>
          <w:lang w:val="fr-FR"/>
        </w:rPr>
        <w:t>Bonaventura</w:t>
      </w:r>
      <w:proofErr w:type="spellEnd"/>
      <w:r w:rsidRPr="00915031">
        <w:rPr>
          <w:i/>
          <w:lang w:val="fr-FR"/>
        </w:rPr>
        <w:t xml:space="preserve"> c. Italie</w:t>
      </w:r>
      <w:r w:rsidR="00B5007E" w:rsidRPr="00915031">
        <w:rPr>
          <w:lang w:val="fr-FR"/>
        </w:rPr>
        <w:t>, précité, § </w:t>
      </w:r>
      <w:r w:rsidRPr="00915031">
        <w:rPr>
          <w:lang w:val="fr-FR"/>
        </w:rPr>
        <w:t>30</w:t>
      </w:r>
      <w:r w:rsidR="003C6344" w:rsidRPr="00915031">
        <w:rPr>
          <w:lang w:val="fr-FR"/>
        </w:rPr>
        <w:t xml:space="preserve"> ; </w:t>
      </w:r>
      <w:proofErr w:type="spellStart"/>
      <w:r w:rsidR="003C6344" w:rsidRPr="00915031">
        <w:rPr>
          <w:i/>
          <w:lang w:val="fr-FR"/>
        </w:rPr>
        <w:t>Iandoli</w:t>
      </w:r>
      <w:proofErr w:type="spellEnd"/>
      <w:r w:rsidR="003C6344" w:rsidRPr="00915031">
        <w:rPr>
          <w:i/>
          <w:lang w:val="fr-FR"/>
        </w:rPr>
        <w:t xml:space="preserve"> c. Italie</w:t>
      </w:r>
      <w:r w:rsidR="003C6344" w:rsidRPr="00915031">
        <w:rPr>
          <w:lang w:val="fr-FR"/>
        </w:rPr>
        <w:t>, n</w:t>
      </w:r>
      <w:r w:rsidR="003C6344" w:rsidRPr="00915031">
        <w:rPr>
          <w:vertAlign w:val="superscript"/>
          <w:lang w:val="fr-FR"/>
        </w:rPr>
        <w:t>o</w:t>
      </w:r>
      <w:r w:rsidR="003C6344" w:rsidRPr="00915031">
        <w:rPr>
          <w:lang w:val="fr-FR"/>
        </w:rPr>
        <w:t xml:space="preserve"> 67992/01, 14 juin 2011 ; </w:t>
      </w:r>
      <w:proofErr w:type="spellStart"/>
      <w:r w:rsidR="003C6344" w:rsidRPr="00915031">
        <w:rPr>
          <w:i/>
          <w:lang w:val="fr-FR"/>
        </w:rPr>
        <w:t>Velocci</w:t>
      </w:r>
      <w:proofErr w:type="spellEnd"/>
      <w:r w:rsidR="003C6344" w:rsidRPr="00915031">
        <w:rPr>
          <w:i/>
          <w:lang w:val="fr-FR"/>
        </w:rPr>
        <w:t xml:space="preserve"> c. Italie</w:t>
      </w:r>
      <w:r w:rsidR="003C6344" w:rsidRPr="00915031">
        <w:rPr>
          <w:lang w:val="fr-FR"/>
        </w:rPr>
        <w:t>, n</w:t>
      </w:r>
      <w:r w:rsidR="003C6344" w:rsidRPr="00915031">
        <w:rPr>
          <w:vertAlign w:val="superscript"/>
          <w:lang w:val="fr-FR"/>
        </w:rPr>
        <w:t>o</w:t>
      </w:r>
      <w:r w:rsidR="00B5007E" w:rsidRPr="00915031">
        <w:rPr>
          <w:vertAlign w:val="superscript"/>
          <w:lang w:val="fr-FR"/>
        </w:rPr>
        <w:t> </w:t>
      </w:r>
      <w:r w:rsidR="00915031" w:rsidRPr="00915031">
        <w:rPr>
          <w:lang w:val="fr-FR"/>
        </w:rPr>
        <w:t>717/03, 18 </w:t>
      </w:r>
      <w:r w:rsidR="003C6344" w:rsidRPr="00915031">
        <w:rPr>
          <w:lang w:val="fr-FR"/>
        </w:rPr>
        <w:t xml:space="preserve">mars 2008 ; </w:t>
      </w:r>
      <w:r w:rsidR="003C6344" w:rsidRPr="00915031">
        <w:rPr>
          <w:i/>
          <w:lang w:val="fr-FR"/>
        </w:rPr>
        <w:t>Farina c. Italie</w:t>
      </w:r>
      <w:r w:rsidR="003C6344" w:rsidRPr="00915031">
        <w:rPr>
          <w:lang w:val="fr-FR"/>
        </w:rPr>
        <w:t>, n</w:t>
      </w:r>
      <w:r w:rsidR="003C6344" w:rsidRPr="00915031">
        <w:rPr>
          <w:vertAlign w:val="superscript"/>
          <w:lang w:val="fr-FR"/>
        </w:rPr>
        <w:t>o</w:t>
      </w:r>
      <w:r w:rsidR="003C6344" w:rsidRPr="00915031">
        <w:rPr>
          <w:lang w:val="fr-FR"/>
        </w:rPr>
        <w:t xml:space="preserve"> 75259/01, 17 mai 2011</w:t>
      </w:r>
      <w:r w:rsidRPr="00915031">
        <w:rPr>
          <w:lang w:val="fr-FR"/>
        </w:rPr>
        <w:t>).</w:t>
      </w:r>
    </w:p>
    <w:p w:rsidR="00E77CB3" w:rsidRPr="00915031" w:rsidRDefault="008D4B80" w:rsidP="00915031">
      <w:pPr>
        <w:pStyle w:val="ECHRHeading1"/>
        <w:rPr>
          <w:lang w:val="fr-FR"/>
        </w:rPr>
      </w:pPr>
      <w:r w:rsidRPr="00915031">
        <w:rPr>
          <w:lang w:val="fr-FR"/>
        </w:rPr>
        <w:t>IV</w:t>
      </w:r>
      <w:r w:rsidR="00E77CB3" w:rsidRPr="00915031">
        <w:rPr>
          <w:lang w:val="fr-FR"/>
        </w:rPr>
        <w:t>.</w:t>
      </w:r>
      <w:proofErr w:type="gramStart"/>
      <w:r w:rsidR="00E77CB3" w:rsidRPr="00915031">
        <w:rPr>
          <w:lang w:val="fr-FR"/>
        </w:rPr>
        <w:t>  SUR</w:t>
      </w:r>
      <w:proofErr w:type="gramEnd"/>
      <w:r w:rsidR="00E77CB3" w:rsidRPr="00915031">
        <w:rPr>
          <w:lang w:val="fr-FR"/>
        </w:rPr>
        <w:t xml:space="preserve"> LES AUTRES VIOLATIONS ALLÉGUÉES</w:t>
      </w:r>
    </w:p>
    <w:p w:rsidR="005C218A" w:rsidRPr="00915031" w:rsidRDefault="005C218A" w:rsidP="00915031">
      <w:pPr>
        <w:pStyle w:val="ECHRPara"/>
        <w:rPr>
          <w:lang w:val="fr-FR"/>
        </w:rPr>
      </w:pPr>
      <w:r w:rsidRPr="00915031">
        <w:rPr>
          <w:lang w:val="fr-FR"/>
        </w:rPr>
        <w:fldChar w:fldCharType="begin"/>
      </w:r>
      <w:r w:rsidRPr="00915031">
        <w:rPr>
          <w:lang w:val="fr-FR"/>
        </w:rPr>
        <w:instrText xml:space="preserve"> SEQ level0 \*arabic </w:instrText>
      </w:r>
      <w:r w:rsidRPr="00915031">
        <w:rPr>
          <w:lang w:val="fr-FR"/>
        </w:rPr>
        <w:fldChar w:fldCharType="separate"/>
      </w:r>
      <w:r w:rsidR="00915031" w:rsidRPr="00915031">
        <w:rPr>
          <w:noProof/>
          <w:lang w:val="fr-FR"/>
        </w:rPr>
        <w:t>48</w:t>
      </w:r>
      <w:r w:rsidRPr="00915031">
        <w:rPr>
          <w:lang w:val="fr-FR"/>
        </w:rPr>
        <w:fldChar w:fldCharType="end"/>
      </w:r>
      <w:r w:rsidRPr="00915031">
        <w:rPr>
          <w:lang w:val="fr-FR"/>
        </w:rPr>
        <w:t>.  Les requérants invoquent également l</w:t>
      </w:r>
      <w:r w:rsidR="00915031" w:rsidRPr="00915031">
        <w:rPr>
          <w:lang w:val="fr-FR"/>
        </w:rPr>
        <w:t>’</w:t>
      </w:r>
      <w:r w:rsidRPr="00915031">
        <w:rPr>
          <w:lang w:val="fr-FR"/>
        </w:rPr>
        <w:t>article 17 de la Convention, sans toutefois l</w:t>
      </w:r>
      <w:r w:rsidR="00915031" w:rsidRPr="00915031">
        <w:rPr>
          <w:lang w:val="fr-FR"/>
        </w:rPr>
        <w:t>’</w:t>
      </w:r>
      <w:r w:rsidRPr="00915031">
        <w:rPr>
          <w:lang w:val="fr-FR"/>
        </w:rPr>
        <w:t>étayer.</w:t>
      </w:r>
    </w:p>
    <w:p w:rsidR="00E77CB3" w:rsidRPr="00915031" w:rsidRDefault="005C218A" w:rsidP="00915031">
      <w:pPr>
        <w:pStyle w:val="ECHRPara"/>
        <w:rPr>
          <w:lang w:val="fr-FR"/>
        </w:rPr>
      </w:pPr>
      <w:r w:rsidRPr="00915031">
        <w:fldChar w:fldCharType="begin"/>
      </w:r>
      <w:r w:rsidRPr="00915031">
        <w:rPr>
          <w:lang w:val="fr-FR"/>
        </w:rPr>
        <w:instrText xml:space="preserve"> SEQ level0 \*arabic </w:instrText>
      </w:r>
      <w:r w:rsidRPr="00915031">
        <w:fldChar w:fldCharType="separate"/>
      </w:r>
      <w:r w:rsidR="00915031" w:rsidRPr="00915031">
        <w:rPr>
          <w:noProof/>
          <w:lang w:val="fr-FR"/>
        </w:rPr>
        <w:t>49</w:t>
      </w:r>
      <w:r w:rsidRPr="00915031">
        <w:rPr>
          <w:lang w:val="fr-FR"/>
        </w:rPr>
        <w:fldChar w:fldCharType="end"/>
      </w:r>
      <w:r w:rsidRPr="00915031">
        <w:rPr>
          <w:lang w:val="fr-FR"/>
        </w:rPr>
        <w:t>.  La Cour estime par conséquent qu</w:t>
      </w:r>
      <w:r w:rsidR="00915031" w:rsidRPr="00915031">
        <w:rPr>
          <w:lang w:val="fr-FR"/>
        </w:rPr>
        <w:t>’</w:t>
      </w:r>
      <w:r w:rsidRPr="00915031">
        <w:rPr>
          <w:lang w:val="fr-FR"/>
        </w:rPr>
        <w:t>il doit être déclaré irrecevable en tant que manifestement mal fondé au sens de l</w:t>
      </w:r>
      <w:r w:rsidR="00915031" w:rsidRPr="00915031">
        <w:rPr>
          <w:lang w:val="fr-FR"/>
        </w:rPr>
        <w:t>’</w:t>
      </w:r>
      <w:r w:rsidRPr="00915031">
        <w:rPr>
          <w:lang w:val="fr-FR"/>
        </w:rPr>
        <w:t>article 35 §§ 3 et 4 de la Convention.</w:t>
      </w:r>
    </w:p>
    <w:p w:rsidR="00E77CB3" w:rsidRPr="00915031" w:rsidRDefault="00505158" w:rsidP="00915031">
      <w:pPr>
        <w:pStyle w:val="ECHRHeading1"/>
        <w:rPr>
          <w:lang w:val="fr-FR"/>
        </w:rPr>
      </w:pPr>
      <w:r w:rsidRPr="00915031">
        <w:rPr>
          <w:lang w:val="fr-FR"/>
        </w:rPr>
        <w:t>V</w:t>
      </w:r>
      <w:r w:rsidR="00E77CB3" w:rsidRPr="00915031">
        <w:rPr>
          <w:lang w:val="fr-FR"/>
        </w:rPr>
        <w:t>.</w:t>
      </w:r>
      <w:proofErr w:type="gramStart"/>
      <w:r w:rsidR="00E77CB3" w:rsidRPr="00915031">
        <w:rPr>
          <w:lang w:val="fr-FR"/>
        </w:rPr>
        <w:t>  SUR</w:t>
      </w:r>
      <w:proofErr w:type="gramEnd"/>
      <w:r w:rsidR="00E77CB3" w:rsidRPr="00915031">
        <w:rPr>
          <w:lang w:val="fr-FR"/>
        </w:rPr>
        <w:t xml:space="preserve"> L</w:t>
      </w:r>
      <w:r w:rsidR="00915031" w:rsidRPr="00915031">
        <w:rPr>
          <w:lang w:val="fr-FR"/>
        </w:rPr>
        <w:t>’</w:t>
      </w:r>
      <w:r w:rsidR="00E77CB3" w:rsidRPr="00915031">
        <w:rPr>
          <w:lang w:val="fr-FR"/>
        </w:rPr>
        <w:t>APPLICATION DE L</w:t>
      </w:r>
      <w:r w:rsidR="00915031" w:rsidRPr="00915031">
        <w:rPr>
          <w:lang w:val="fr-FR"/>
        </w:rPr>
        <w:t>’</w:t>
      </w:r>
      <w:r w:rsidR="00E77CB3" w:rsidRPr="00915031">
        <w:rPr>
          <w:lang w:val="fr-FR"/>
        </w:rPr>
        <w:t>ARTICLE 41 DE LA CONVENTION</w:t>
      </w:r>
    </w:p>
    <w:p w:rsidR="00E77CB3" w:rsidRPr="00915031" w:rsidRDefault="00457B85" w:rsidP="00915031">
      <w:pPr>
        <w:pStyle w:val="ECHRPara"/>
        <w:rPr>
          <w:lang w:val="fr-FR"/>
        </w:rPr>
      </w:pPr>
      <w:r w:rsidRPr="00915031">
        <w:rPr>
          <w:lang w:val="fr-FR"/>
        </w:rPr>
        <w:fldChar w:fldCharType="begin"/>
      </w:r>
      <w:r w:rsidRPr="00915031">
        <w:rPr>
          <w:lang w:val="fr-FR"/>
        </w:rPr>
        <w:instrText xml:space="preserve"> SEQ level0 \*arabic </w:instrText>
      </w:r>
      <w:r w:rsidRPr="00915031">
        <w:rPr>
          <w:lang w:val="fr-FR"/>
        </w:rPr>
        <w:fldChar w:fldCharType="separate"/>
      </w:r>
      <w:r w:rsidR="00915031" w:rsidRPr="00915031">
        <w:rPr>
          <w:noProof/>
          <w:lang w:val="fr-FR"/>
        </w:rPr>
        <w:t>50</w:t>
      </w:r>
      <w:r w:rsidRPr="00915031">
        <w:rPr>
          <w:lang w:val="fr-FR"/>
        </w:rPr>
        <w:fldChar w:fldCharType="end"/>
      </w:r>
      <w:r w:rsidR="00E77CB3" w:rsidRPr="00915031">
        <w:rPr>
          <w:lang w:val="fr-FR"/>
        </w:rPr>
        <w:t>.  Aux termes de l</w:t>
      </w:r>
      <w:r w:rsidR="00915031" w:rsidRPr="00915031">
        <w:rPr>
          <w:lang w:val="fr-FR"/>
        </w:rPr>
        <w:t>’</w:t>
      </w:r>
      <w:r w:rsidR="00E77CB3" w:rsidRPr="00915031">
        <w:rPr>
          <w:lang w:val="fr-FR"/>
        </w:rPr>
        <w:t>article 41 de la Convention,</w:t>
      </w:r>
    </w:p>
    <w:p w:rsidR="00E77CB3" w:rsidRPr="00915031" w:rsidRDefault="00E77CB3" w:rsidP="00915031">
      <w:pPr>
        <w:pStyle w:val="ECHRParaQuote"/>
        <w:keepNext/>
        <w:keepLines/>
        <w:rPr>
          <w:lang w:val="fr-FR"/>
        </w:rPr>
      </w:pPr>
      <w:r w:rsidRPr="00915031">
        <w:rPr>
          <w:lang w:val="fr-FR"/>
        </w:rPr>
        <w:t>« Si la Cour déclare qu</w:t>
      </w:r>
      <w:r w:rsidR="00915031" w:rsidRPr="00915031">
        <w:rPr>
          <w:lang w:val="fr-FR"/>
        </w:rPr>
        <w:t>’</w:t>
      </w:r>
      <w:r w:rsidRPr="00915031">
        <w:rPr>
          <w:lang w:val="fr-FR"/>
        </w:rPr>
        <w:t>il y a eu violation de la Convention ou de ses Protocoles, et si le droit interne de la Haute Partie contractante ne permet d</w:t>
      </w:r>
      <w:r w:rsidR="00915031" w:rsidRPr="00915031">
        <w:rPr>
          <w:lang w:val="fr-FR"/>
        </w:rPr>
        <w:t>’</w:t>
      </w:r>
      <w:r w:rsidRPr="00915031">
        <w:rPr>
          <w:lang w:val="fr-FR"/>
        </w:rPr>
        <w:t>effacer qu</w:t>
      </w:r>
      <w:r w:rsidR="00915031" w:rsidRPr="00915031">
        <w:rPr>
          <w:lang w:val="fr-FR"/>
        </w:rPr>
        <w:t>’</w:t>
      </w:r>
      <w:r w:rsidRPr="00915031">
        <w:rPr>
          <w:lang w:val="fr-FR"/>
        </w:rPr>
        <w:t>imparfaitement les conséquences de cette violation, la Cour accorde à la partie lésée, s</w:t>
      </w:r>
      <w:r w:rsidR="00915031" w:rsidRPr="00915031">
        <w:rPr>
          <w:lang w:val="fr-FR"/>
        </w:rPr>
        <w:t>’</w:t>
      </w:r>
      <w:r w:rsidRPr="00915031">
        <w:rPr>
          <w:lang w:val="fr-FR"/>
        </w:rPr>
        <w:t>il y a lieu, une satisfaction équitable. »</w:t>
      </w:r>
    </w:p>
    <w:p w:rsidR="00574850" w:rsidRPr="00915031" w:rsidRDefault="00C44229" w:rsidP="00915031">
      <w:pPr>
        <w:pStyle w:val="ECHRHeading2"/>
        <w:rPr>
          <w:lang w:val="fr-FR"/>
        </w:rPr>
      </w:pPr>
      <w:r w:rsidRPr="00915031">
        <w:rPr>
          <w:lang w:val="fr-FR"/>
        </w:rPr>
        <w:t>A</w:t>
      </w:r>
      <w:r w:rsidR="007208C3" w:rsidRPr="00915031">
        <w:rPr>
          <w:lang w:val="fr-FR"/>
        </w:rPr>
        <w:t>.</w:t>
      </w:r>
      <w:proofErr w:type="gramStart"/>
      <w:r w:rsidR="007208C3" w:rsidRPr="00915031">
        <w:rPr>
          <w:lang w:val="fr-FR"/>
        </w:rPr>
        <w:t>  Dommage</w:t>
      </w:r>
      <w:proofErr w:type="gramEnd"/>
      <w:r w:rsidR="007208C3" w:rsidRPr="00915031">
        <w:rPr>
          <w:lang w:val="fr-FR"/>
        </w:rPr>
        <w:t xml:space="preserve"> matériel</w:t>
      </w:r>
    </w:p>
    <w:p w:rsidR="007208C3" w:rsidRPr="00915031" w:rsidRDefault="007208C3" w:rsidP="00915031">
      <w:pPr>
        <w:pStyle w:val="ECHRPara"/>
        <w:rPr>
          <w:lang w:val="fr-FR"/>
        </w:rPr>
      </w:pPr>
      <w:r w:rsidRPr="00915031">
        <w:rPr>
          <w:lang w:val="fr-FR"/>
        </w:rPr>
        <w:fldChar w:fldCharType="begin"/>
      </w:r>
      <w:r w:rsidRPr="00915031">
        <w:rPr>
          <w:lang w:val="fr-FR"/>
        </w:rPr>
        <w:instrText xml:space="preserve"> SEQ level0 \*arabic </w:instrText>
      </w:r>
      <w:r w:rsidRPr="00915031">
        <w:rPr>
          <w:lang w:val="fr-FR"/>
        </w:rPr>
        <w:fldChar w:fldCharType="separate"/>
      </w:r>
      <w:r w:rsidR="00915031" w:rsidRPr="00915031">
        <w:rPr>
          <w:noProof/>
          <w:lang w:val="fr-FR"/>
        </w:rPr>
        <w:t>51</w:t>
      </w:r>
      <w:r w:rsidRPr="00915031">
        <w:rPr>
          <w:lang w:val="fr-FR"/>
        </w:rPr>
        <w:fldChar w:fldCharType="end"/>
      </w:r>
      <w:r w:rsidRPr="00915031">
        <w:rPr>
          <w:lang w:val="fr-FR"/>
        </w:rPr>
        <w:t>.  Les requérants sollicitent une somme correspondant à la différence entre la valeur vénale du terrain et le montant du dédommagement accordé au niveau national, à réévaluer.</w:t>
      </w:r>
      <w:r w:rsidR="00E85935" w:rsidRPr="00915031">
        <w:rPr>
          <w:lang w:val="fr-FR"/>
        </w:rPr>
        <w:t xml:space="preserve"> </w:t>
      </w:r>
      <w:r w:rsidR="0089251B" w:rsidRPr="00915031">
        <w:rPr>
          <w:lang w:val="fr-FR"/>
        </w:rPr>
        <w:t xml:space="preserve">Selon eux, cette somme devrait être calculée sur la base de la valeur actuelle du terrain. </w:t>
      </w:r>
      <w:r w:rsidRPr="00915031">
        <w:rPr>
          <w:lang w:val="fr-FR"/>
        </w:rPr>
        <w:t>Ils demandent, en outre,</w:t>
      </w:r>
      <w:r w:rsidR="0089251B" w:rsidRPr="00915031">
        <w:rPr>
          <w:lang w:val="fr-FR"/>
        </w:rPr>
        <w:t xml:space="preserve"> le versement de 297 421EUR pour la non-jouissance du terrain, </w:t>
      </w:r>
      <w:r w:rsidRPr="00915031">
        <w:rPr>
          <w:lang w:val="fr-FR"/>
        </w:rPr>
        <w:t>1 050 000</w:t>
      </w:r>
      <w:r w:rsidR="00344B6F" w:rsidRPr="00915031">
        <w:rPr>
          <w:lang w:val="fr-FR"/>
        </w:rPr>
        <w:t> </w:t>
      </w:r>
      <w:r w:rsidRPr="00915031">
        <w:rPr>
          <w:lang w:val="fr-FR"/>
        </w:rPr>
        <w:t>EUR à titre de plus-value découlant de la construction de l</w:t>
      </w:r>
      <w:r w:rsidR="00915031" w:rsidRPr="00915031">
        <w:rPr>
          <w:lang w:val="fr-FR"/>
        </w:rPr>
        <w:t>’</w:t>
      </w:r>
      <w:r w:rsidRPr="00915031">
        <w:rPr>
          <w:lang w:val="fr-FR"/>
        </w:rPr>
        <w:t xml:space="preserve">ouvrage public, et de 1 514 213 EUR pour la non-jouissance des </w:t>
      </w:r>
      <w:r w:rsidRPr="00915031">
        <w:rPr>
          <w:lang w:val="fr-FR"/>
        </w:rPr>
        <w:lastRenderedPageBreak/>
        <w:t>immeubles bâtis sur le terrain</w:t>
      </w:r>
      <w:r w:rsidR="0089251B" w:rsidRPr="00915031">
        <w:rPr>
          <w:lang w:val="fr-FR"/>
        </w:rPr>
        <w:t xml:space="preserve"> par l</w:t>
      </w:r>
      <w:r w:rsidR="00915031" w:rsidRPr="00915031">
        <w:rPr>
          <w:lang w:val="fr-FR"/>
        </w:rPr>
        <w:t>’</w:t>
      </w:r>
      <w:r w:rsidR="0089251B" w:rsidRPr="00915031">
        <w:rPr>
          <w:lang w:val="fr-FR"/>
        </w:rPr>
        <w:t>administration</w:t>
      </w:r>
      <w:r w:rsidRPr="00915031">
        <w:rPr>
          <w:lang w:val="fr-FR"/>
        </w:rPr>
        <w:t>.</w:t>
      </w:r>
      <w:r w:rsidR="00666093" w:rsidRPr="00915031">
        <w:rPr>
          <w:lang w:val="fr-FR"/>
        </w:rPr>
        <w:t xml:space="preserve"> Enfin, ils réclament 29 080 EUR à titre de </w:t>
      </w:r>
      <w:r w:rsidR="00EE2CD6" w:rsidRPr="00915031">
        <w:rPr>
          <w:lang w:val="fr-FR"/>
        </w:rPr>
        <w:t>perte de chance</w:t>
      </w:r>
      <w:r w:rsidR="00666093" w:rsidRPr="00915031">
        <w:rPr>
          <w:lang w:val="fr-FR"/>
        </w:rPr>
        <w:t>.</w:t>
      </w:r>
    </w:p>
    <w:p w:rsidR="007208C3" w:rsidRPr="00915031" w:rsidRDefault="007208C3" w:rsidP="00915031">
      <w:pPr>
        <w:pStyle w:val="ECHRPara"/>
        <w:rPr>
          <w:lang w:val="fr-FR"/>
        </w:rPr>
      </w:pPr>
      <w:r w:rsidRPr="00915031">
        <w:fldChar w:fldCharType="begin"/>
      </w:r>
      <w:r w:rsidRPr="00915031">
        <w:rPr>
          <w:lang w:val="fr-FR"/>
        </w:rPr>
        <w:instrText xml:space="preserve"> SEQ level0 \*arabic </w:instrText>
      </w:r>
      <w:r w:rsidRPr="00915031">
        <w:fldChar w:fldCharType="separate"/>
      </w:r>
      <w:r w:rsidR="00915031" w:rsidRPr="00915031">
        <w:rPr>
          <w:noProof/>
          <w:lang w:val="fr-FR"/>
        </w:rPr>
        <w:t>52</w:t>
      </w:r>
      <w:r w:rsidRPr="00915031">
        <w:rPr>
          <w:lang w:val="fr-FR"/>
        </w:rPr>
        <w:fldChar w:fldCharType="end"/>
      </w:r>
      <w:r w:rsidRPr="00915031">
        <w:rPr>
          <w:lang w:val="fr-FR"/>
        </w:rPr>
        <w:t>.  Le Gouvernement s</w:t>
      </w:r>
      <w:r w:rsidR="00915031" w:rsidRPr="00915031">
        <w:rPr>
          <w:lang w:val="fr-FR"/>
        </w:rPr>
        <w:t>’</w:t>
      </w:r>
      <w:r w:rsidRPr="00915031">
        <w:rPr>
          <w:lang w:val="fr-FR"/>
        </w:rPr>
        <w:t>oppose à ces prétentions.</w:t>
      </w:r>
    </w:p>
    <w:p w:rsidR="007208C3" w:rsidRPr="00915031" w:rsidRDefault="007208C3" w:rsidP="00915031">
      <w:pPr>
        <w:pStyle w:val="ECHRPara"/>
        <w:rPr>
          <w:lang w:val="fr-FR"/>
        </w:rPr>
      </w:pPr>
      <w:r w:rsidRPr="00915031">
        <w:rPr>
          <w:lang w:val="fr-FR"/>
        </w:rPr>
        <w:fldChar w:fldCharType="begin"/>
      </w:r>
      <w:r w:rsidRPr="00915031">
        <w:rPr>
          <w:lang w:val="fr-FR"/>
        </w:rPr>
        <w:instrText xml:space="preserve"> SEQ level0 \*arabic </w:instrText>
      </w:r>
      <w:r w:rsidRPr="00915031">
        <w:rPr>
          <w:lang w:val="fr-FR"/>
        </w:rPr>
        <w:fldChar w:fldCharType="separate"/>
      </w:r>
      <w:r w:rsidR="00915031" w:rsidRPr="00915031">
        <w:rPr>
          <w:noProof/>
          <w:lang w:val="fr-FR"/>
        </w:rPr>
        <w:t>53</w:t>
      </w:r>
      <w:r w:rsidRPr="00915031">
        <w:rPr>
          <w:lang w:val="fr-FR"/>
        </w:rPr>
        <w:fldChar w:fldCharType="end"/>
      </w:r>
      <w:r w:rsidRPr="00915031">
        <w:rPr>
          <w:lang w:val="fr-FR"/>
        </w:rPr>
        <w:t>.  La Cour rappelle que dans l</w:t>
      </w:r>
      <w:r w:rsidR="00915031" w:rsidRPr="00915031">
        <w:rPr>
          <w:lang w:val="fr-FR"/>
        </w:rPr>
        <w:t>’</w:t>
      </w:r>
      <w:r w:rsidRPr="00915031">
        <w:rPr>
          <w:lang w:val="fr-FR"/>
        </w:rPr>
        <w:t xml:space="preserve">affaire </w:t>
      </w:r>
      <w:proofErr w:type="spellStart"/>
      <w:r w:rsidRPr="00915031">
        <w:rPr>
          <w:i/>
          <w:iCs/>
          <w:lang w:val="fr-FR"/>
        </w:rPr>
        <w:t>Guiso-Gallisay</w:t>
      </w:r>
      <w:proofErr w:type="spellEnd"/>
      <w:r w:rsidRPr="00915031">
        <w:rPr>
          <w:i/>
          <w:iCs/>
          <w:lang w:val="fr-FR"/>
        </w:rPr>
        <w:t xml:space="preserve"> c. Italie</w:t>
      </w:r>
      <w:r w:rsidRPr="00915031">
        <w:rPr>
          <w:lang w:val="fr-FR"/>
        </w:rPr>
        <w:t xml:space="preserve"> (satisfaction équitable) [GC], précité, la Grande Chambre a modifié la jurisprudence de la Cour concernant les critères d</w:t>
      </w:r>
      <w:r w:rsidR="00915031" w:rsidRPr="00915031">
        <w:rPr>
          <w:lang w:val="fr-FR"/>
        </w:rPr>
        <w:t>’</w:t>
      </w:r>
      <w:r w:rsidRPr="00915031">
        <w:rPr>
          <w:lang w:val="fr-FR"/>
        </w:rPr>
        <w:t>indemnisation dans les affaires d</w:t>
      </w:r>
      <w:r w:rsidR="00915031" w:rsidRPr="00915031">
        <w:rPr>
          <w:lang w:val="fr-FR"/>
        </w:rPr>
        <w:t>’</w:t>
      </w:r>
      <w:r w:rsidRPr="00915031">
        <w:rPr>
          <w:lang w:val="fr-FR"/>
        </w:rPr>
        <w:t>expropriation indirecte en établissant que l</w:t>
      </w:r>
      <w:r w:rsidR="00915031" w:rsidRPr="00915031">
        <w:rPr>
          <w:lang w:val="fr-FR"/>
        </w:rPr>
        <w:t>’</w:t>
      </w:r>
      <w:r w:rsidRPr="00915031">
        <w:rPr>
          <w:lang w:val="fr-FR"/>
        </w:rPr>
        <w:t>indemnisation à octroyer doit correspondre à la valeur pleine et entière du terrain au moment de la perte de la propriété, telle qu</w:t>
      </w:r>
      <w:r w:rsidR="00915031" w:rsidRPr="00915031">
        <w:rPr>
          <w:lang w:val="fr-FR"/>
        </w:rPr>
        <w:t>’</w:t>
      </w:r>
      <w:r w:rsidRPr="00915031">
        <w:rPr>
          <w:lang w:val="fr-FR"/>
        </w:rPr>
        <w:t>établie par l</w:t>
      </w:r>
      <w:r w:rsidR="00915031" w:rsidRPr="00915031">
        <w:rPr>
          <w:lang w:val="fr-FR"/>
        </w:rPr>
        <w:t>’</w:t>
      </w:r>
      <w:r w:rsidRPr="00915031">
        <w:rPr>
          <w:lang w:val="fr-FR"/>
        </w:rPr>
        <w:t>expertise ordonnée par la juridiction compétente au cours de la procédure interne. Ensuite, une fois déduite la somme éventuellement octroyée au niveau national, ce montant doit être actualisé pour compenser les effets de l</w:t>
      </w:r>
      <w:r w:rsidR="00915031" w:rsidRPr="00915031">
        <w:rPr>
          <w:lang w:val="fr-FR"/>
        </w:rPr>
        <w:t>’</w:t>
      </w:r>
      <w:r w:rsidRPr="00915031">
        <w:rPr>
          <w:lang w:val="fr-FR"/>
        </w:rPr>
        <w:t>inflation et assorti d</w:t>
      </w:r>
      <w:r w:rsidR="00915031" w:rsidRPr="00915031">
        <w:rPr>
          <w:lang w:val="fr-FR"/>
        </w:rPr>
        <w:t>’</w:t>
      </w:r>
      <w:r w:rsidRPr="00915031">
        <w:rPr>
          <w:lang w:val="fr-FR"/>
        </w:rPr>
        <w:t>intérêts susceptibles de compenser, au moins en partie, le long laps de temps qui s</w:t>
      </w:r>
      <w:r w:rsidR="00915031" w:rsidRPr="00915031">
        <w:rPr>
          <w:lang w:val="fr-FR"/>
        </w:rPr>
        <w:t>’</w:t>
      </w:r>
      <w:r w:rsidRPr="00915031">
        <w:rPr>
          <w:lang w:val="fr-FR"/>
        </w:rPr>
        <w:t>est écoulé depuis la dépossession des terrains. Enfin, il y a lieu de d</w:t>
      </w:r>
      <w:r w:rsidR="00915031" w:rsidRPr="00915031">
        <w:rPr>
          <w:lang w:val="fr-FR"/>
        </w:rPr>
        <w:t>’</w:t>
      </w:r>
      <w:r w:rsidRPr="00915031">
        <w:rPr>
          <w:lang w:val="fr-FR"/>
        </w:rPr>
        <w:t>évaluer la perte de chances éventuellement subie par les intéressés.</w:t>
      </w:r>
    </w:p>
    <w:p w:rsidR="007208C3" w:rsidRPr="00915031" w:rsidRDefault="007208C3" w:rsidP="00915031">
      <w:pPr>
        <w:pStyle w:val="ECHRPara"/>
        <w:rPr>
          <w:lang w:val="fr-FR"/>
        </w:rPr>
      </w:pPr>
      <w:r w:rsidRPr="00915031">
        <w:fldChar w:fldCharType="begin"/>
      </w:r>
      <w:r w:rsidRPr="00915031">
        <w:rPr>
          <w:lang w:val="fr-FR"/>
        </w:rPr>
        <w:instrText xml:space="preserve"> SEQ level0 \*arabic </w:instrText>
      </w:r>
      <w:r w:rsidRPr="00915031">
        <w:fldChar w:fldCharType="separate"/>
      </w:r>
      <w:r w:rsidR="00915031" w:rsidRPr="00915031">
        <w:rPr>
          <w:noProof/>
          <w:lang w:val="fr-FR"/>
        </w:rPr>
        <w:t>54</w:t>
      </w:r>
      <w:r w:rsidRPr="00915031">
        <w:rPr>
          <w:lang w:val="fr-FR"/>
        </w:rPr>
        <w:fldChar w:fldCharType="end"/>
      </w:r>
      <w:r w:rsidRPr="00915031">
        <w:rPr>
          <w:lang w:val="fr-FR"/>
        </w:rPr>
        <w:t>.  En l</w:t>
      </w:r>
      <w:r w:rsidR="00915031" w:rsidRPr="00915031">
        <w:rPr>
          <w:lang w:val="fr-FR"/>
        </w:rPr>
        <w:t>’</w:t>
      </w:r>
      <w:r w:rsidRPr="00915031">
        <w:rPr>
          <w:lang w:val="fr-FR"/>
        </w:rPr>
        <w:t>espèce, d</w:t>
      </w:r>
      <w:r w:rsidR="00915031" w:rsidRPr="00915031">
        <w:rPr>
          <w:lang w:val="fr-FR"/>
        </w:rPr>
        <w:t>’</w:t>
      </w:r>
      <w:r w:rsidRPr="00915031">
        <w:rPr>
          <w:lang w:val="fr-FR"/>
        </w:rPr>
        <w:t xml:space="preserve">après les juridictions nationales, les requérants ont perdu la propriété de leur terrain le 18 juin 1986. Il ressort </w:t>
      </w:r>
      <w:r w:rsidR="00E10487" w:rsidRPr="00915031">
        <w:rPr>
          <w:lang w:val="fr-FR"/>
        </w:rPr>
        <w:t>de l</w:t>
      </w:r>
      <w:r w:rsidR="00915031" w:rsidRPr="00915031">
        <w:rPr>
          <w:lang w:val="fr-FR"/>
        </w:rPr>
        <w:t>’</w:t>
      </w:r>
      <w:r w:rsidR="00E10487" w:rsidRPr="00915031">
        <w:rPr>
          <w:lang w:val="fr-FR"/>
        </w:rPr>
        <w:t>arrêt</w:t>
      </w:r>
      <w:r w:rsidRPr="00915031">
        <w:rPr>
          <w:lang w:val="fr-FR"/>
        </w:rPr>
        <w:t xml:space="preserve"> de la cour d</w:t>
      </w:r>
      <w:r w:rsidR="00915031" w:rsidRPr="00915031">
        <w:rPr>
          <w:lang w:val="fr-FR"/>
        </w:rPr>
        <w:t>’</w:t>
      </w:r>
      <w:r w:rsidRPr="00915031">
        <w:rPr>
          <w:lang w:val="fr-FR"/>
        </w:rPr>
        <w:t>appel de Palerme que la valeur du terrain à cette date était de 45,45 EUR le mètre carré, soit 167 710,50</w:t>
      </w:r>
      <w:r w:rsidR="00915031" w:rsidRPr="00915031">
        <w:rPr>
          <w:lang w:val="fr-FR"/>
        </w:rPr>
        <w:t xml:space="preserve"> EUR au total (paragraphe 13 ci</w:t>
      </w:r>
      <w:r w:rsidR="00915031" w:rsidRPr="00915031">
        <w:rPr>
          <w:lang w:val="fr-FR"/>
        </w:rPr>
        <w:noBreakHyphen/>
      </w:r>
      <w:r w:rsidRPr="00915031">
        <w:rPr>
          <w:lang w:val="fr-FR"/>
        </w:rPr>
        <w:t>dessus). Compte tenu de ces éléments, la Cour estime raisonnable d</w:t>
      </w:r>
      <w:r w:rsidR="00915031" w:rsidRPr="00915031">
        <w:rPr>
          <w:lang w:val="fr-FR"/>
        </w:rPr>
        <w:t>’</w:t>
      </w:r>
      <w:r w:rsidRPr="00915031">
        <w:rPr>
          <w:lang w:val="fr-FR"/>
        </w:rPr>
        <w:t>accorder aux requérants</w:t>
      </w:r>
      <w:r w:rsidR="00034974" w:rsidRPr="00915031">
        <w:rPr>
          <w:lang w:val="fr-FR"/>
        </w:rPr>
        <w:t>, conjointement,</w:t>
      </w:r>
      <w:r w:rsidRPr="00915031">
        <w:rPr>
          <w:lang w:val="fr-FR"/>
        </w:rPr>
        <w:t xml:space="preserve"> 323 800 EUR, plus tout montant pouvant être dû à titre d</w:t>
      </w:r>
      <w:r w:rsidR="00915031" w:rsidRPr="00915031">
        <w:rPr>
          <w:lang w:val="fr-FR"/>
        </w:rPr>
        <w:t>’</w:t>
      </w:r>
      <w:r w:rsidRPr="00915031">
        <w:rPr>
          <w:lang w:val="fr-FR"/>
        </w:rPr>
        <w:t>impôt sur cette somme.</w:t>
      </w:r>
    </w:p>
    <w:p w:rsidR="007208C3" w:rsidRPr="00915031" w:rsidRDefault="007208C3" w:rsidP="00915031">
      <w:pPr>
        <w:pStyle w:val="ECHRPara"/>
        <w:rPr>
          <w:lang w:val="fr-FR"/>
        </w:rPr>
      </w:pPr>
      <w:r w:rsidRPr="00915031">
        <w:rPr>
          <w:lang w:val="fr-FR"/>
        </w:rPr>
        <w:fldChar w:fldCharType="begin"/>
      </w:r>
      <w:r w:rsidRPr="00915031">
        <w:rPr>
          <w:lang w:val="fr-FR"/>
        </w:rPr>
        <w:instrText xml:space="preserve"> SEQ level0 \*arabic </w:instrText>
      </w:r>
      <w:r w:rsidRPr="00915031">
        <w:rPr>
          <w:lang w:val="fr-FR"/>
        </w:rPr>
        <w:fldChar w:fldCharType="separate"/>
      </w:r>
      <w:r w:rsidR="00915031" w:rsidRPr="00915031">
        <w:rPr>
          <w:noProof/>
          <w:lang w:val="fr-FR"/>
        </w:rPr>
        <w:t>55</w:t>
      </w:r>
      <w:r w:rsidRPr="00915031">
        <w:rPr>
          <w:lang w:val="fr-FR"/>
        </w:rPr>
        <w:fldChar w:fldCharType="end"/>
      </w:r>
      <w:r w:rsidRPr="00915031">
        <w:rPr>
          <w:lang w:val="fr-FR"/>
        </w:rPr>
        <w:t>.  Quant à la perte de chance subie à la suite de l</w:t>
      </w:r>
      <w:r w:rsidR="00915031" w:rsidRPr="00915031">
        <w:rPr>
          <w:lang w:val="fr-FR"/>
        </w:rPr>
        <w:t>’</w:t>
      </w:r>
      <w:r w:rsidRPr="00915031">
        <w:rPr>
          <w:lang w:val="fr-FR"/>
        </w:rPr>
        <w:t>expropriation, la Cour juge qu</w:t>
      </w:r>
      <w:r w:rsidR="00915031" w:rsidRPr="00915031">
        <w:rPr>
          <w:lang w:val="fr-FR"/>
        </w:rPr>
        <w:t>’</w:t>
      </w:r>
      <w:r w:rsidRPr="00915031">
        <w:rPr>
          <w:lang w:val="fr-FR"/>
        </w:rPr>
        <w:t>il y a lieu de prendre en considération le préjudice découlant de l</w:t>
      </w:r>
      <w:r w:rsidR="00915031" w:rsidRPr="00915031">
        <w:rPr>
          <w:lang w:val="fr-FR"/>
        </w:rPr>
        <w:t>’</w:t>
      </w:r>
      <w:r w:rsidRPr="00915031">
        <w:rPr>
          <w:lang w:val="fr-FR"/>
        </w:rPr>
        <w:t>indisponibilité du terrain pendant la période allant du début de l</w:t>
      </w:r>
      <w:r w:rsidR="00915031" w:rsidRPr="00915031">
        <w:rPr>
          <w:lang w:val="fr-FR"/>
        </w:rPr>
        <w:t>’</w:t>
      </w:r>
      <w:r w:rsidRPr="00915031">
        <w:rPr>
          <w:lang w:val="fr-FR"/>
        </w:rPr>
        <w:t>occupation légitime (16 juillet 1980) jusqu</w:t>
      </w:r>
      <w:r w:rsidR="00915031" w:rsidRPr="00915031">
        <w:rPr>
          <w:lang w:val="fr-FR"/>
        </w:rPr>
        <w:t>’</w:t>
      </w:r>
      <w:r w:rsidRPr="00915031">
        <w:rPr>
          <w:lang w:val="fr-FR"/>
        </w:rPr>
        <w:t>au moment de la perte de propriété (18 juin 1986).</w:t>
      </w:r>
      <w:r w:rsidR="000F11CE" w:rsidRPr="00915031">
        <w:rPr>
          <w:lang w:val="fr-FR"/>
        </w:rPr>
        <w:t xml:space="preserve"> Du montant ainsi calculé sera déduit la somme déjà obtenue par les requérantes au niveau interne à titre d</w:t>
      </w:r>
      <w:r w:rsidR="00915031" w:rsidRPr="00915031">
        <w:rPr>
          <w:lang w:val="fr-FR"/>
        </w:rPr>
        <w:t>’</w:t>
      </w:r>
      <w:r w:rsidR="000F11CE" w:rsidRPr="00915031">
        <w:rPr>
          <w:lang w:val="fr-FR"/>
        </w:rPr>
        <w:t>indemnité d</w:t>
      </w:r>
      <w:r w:rsidR="00915031" w:rsidRPr="00915031">
        <w:rPr>
          <w:lang w:val="fr-FR"/>
        </w:rPr>
        <w:t>’</w:t>
      </w:r>
      <w:r w:rsidR="000F11CE" w:rsidRPr="00915031">
        <w:rPr>
          <w:lang w:val="fr-FR"/>
        </w:rPr>
        <w:t>occupation.</w:t>
      </w:r>
      <w:r w:rsidRPr="00915031">
        <w:rPr>
          <w:lang w:val="fr-FR"/>
        </w:rPr>
        <w:t xml:space="preserve"> </w:t>
      </w:r>
      <w:r w:rsidR="000F11CE" w:rsidRPr="00915031">
        <w:rPr>
          <w:lang w:val="fr-FR"/>
        </w:rPr>
        <w:t>La Cour</w:t>
      </w:r>
      <w:r w:rsidRPr="00915031">
        <w:rPr>
          <w:lang w:val="fr-FR"/>
        </w:rPr>
        <w:t xml:space="preserve"> </w:t>
      </w:r>
      <w:r w:rsidR="00034974" w:rsidRPr="00915031">
        <w:rPr>
          <w:lang w:val="fr-FR"/>
        </w:rPr>
        <w:t>estime raisonnable d</w:t>
      </w:r>
      <w:r w:rsidR="00915031" w:rsidRPr="00915031">
        <w:rPr>
          <w:lang w:val="fr-FR"/>
        </w:rPr>
        <w:t>’</w:t>
      </w:r>
      <w:r w:rsidR="00034974" w:rsidRPr="00915031">
        <w:rPr>
          <w:lang w:val="fr-FR"/>
        </w:rPr>
        <w:t>accorder aux requérants, conjointement,</w:t>
      </w:r>
      <w:r w:rsidR="00574850" w:rsidRPr="00915031">
        <w:rPr>
          <w:lang w:val="fr-FR"/>
        </w:rPr>
        <w:t xml:space="preserve"> </w:t>
      </w:r>
      <w:r w:rsidRPr="00915031">
        <w:rPr>
          <w:lang w:val="fr-FR"/>
        </w:rPr>
        <w:t>2 500 EUR.</w:t>
      </w:r>
    </w:p>
    <w:p w:rsidR="00E77CB3" w:rsidRPr="00915031" w:rsidRDefault="001E4822" w:rsidP="00915031">
      <w:pPr>
        <w:pStyle w:val="ECHRHeading2"/>
        <w:rPr>
          <w:lang w:val="fr-FR"/>
        </w:rPr>
      </w:pPr>
      <w:r w:rsidRPr="00915031">
        <w:rPr>
          <w:lang w:val="fr-FR"/>
        </w:rPr>
        <w:t>B</w:t>
      </w:r>
      <w:r w:rsidR="00E77CB3" w:rsidRPr="00915031">
        <w:rPr>
          <w:lang w:val="fr-FR"/>
        </w:rPr>
        <w:t>.</w:t>
      </w:r>
      <w:proofErr w:type="gramStart"/>
      <w:r w:rsidR="00E77CB3" w:rsidRPr="00915031">
        <w:rPr>
          <w:lang w:val="fr-FR"/>
        </w:rPr>
        <w:t>  Dommage</w:t>
      </w:r>
      <w:proofErr w:type="gramEnd"/>
      <w:r w:rsidRPr="00915031">
        <w:rPr>
          <w:lang w:val="fr-FR"/>
        </w:rPr>
        <w:t xml:space="preserve"> moral</w:t>
      </w:r>
    </w:p>
    <w:p w:rsidR="002C709F" w:rsidRPr="00915031" w:rsidRDefault="00457B85" w:rsidP="00915031">
      <w:pPr>
        <w:pStyle w:val="ECHRPara"/>
        <w:rPr>
          <w:lang w:val="fr-FR"/>
        </w:rPr>
      </w:pPr>
      <w:r w:rsidRPr="00915031">
        <w:rPr>
          <w:lang w:val="fr-FR"/>
        </w:rPr>
        <w:fldChar w:fldCharType="begin"/>
      </w:r>
      <w:r w:rsidRPr="00915031">
        <w:rPr>
          <w:lang w:val="fr-FR"/>
        </w:rPr>
        <w:instrText xml:space="preserve"> SEQ level0 \*arabic </w:instrText>
      </w:r>
      <w:r w:rsidRPr="00915031">
        <w:rPr>
          <w:lang w:val="fr-FR"/>
        </w:rPr>
        <w:fldChar w:fldCharType="separate"/>
      </w:r>
      <w:r w:rsidR="00915031" w:rsidRPr="00915031">
        <w:rPr>
          <w:noProof/>
          <w:lang w:val="fr-FR"/>
        </w:rPr>
        <w:t>56</w:t>
      </w:r>
      <w:r w:rsidRPr="00915031">
        <w:rPr>
          <w:lang w:val="fr-FR"/>
        </w:rPr>
        <w:fldChar w:fldCharType="end"/>
      </w:r>
      <w:r w:rsidR="00E77CB3" w:rsidRPr="00915031">
        <w:rPr>
          <w:lang w:val="fr-FR"/>
        </w:rPr>
        <w:t>.  </w:t>
      </w:r>
      <w:r w:rsidR="002C709F" w:rsidRPr="00915031">
        <w:rPr>
          <w:lang w:val="fr-FR"/>
        </w:rPr>
        <w:t>L</w:t>
      </w:r>
      <w:r w:rsidR="00744548" w:rsidRPr="00915031">
        <w:rPr>
          <w:lang w:val="fr-FR"/>
        </w:rPr>
        <w:t>es</w:t>
      </w:r>
      <w:r w:rsidR="002C709F" w:rsidRPr="00915031">
        <w:rPr>
          <w:lang w:val="fr-FR"/>
        </w:rPr>
        <w:t xml:space="preserve"> requérants demandent 100 000 EUR chacun à titre de préjudice moral.</w:t>
      </w:r>
    </w:p>
    <w:p w:rsidR="00574850" w:rsidRPr="00915031" w:rsidRDefault="002C709F" w:rsidP="00915031">
      <w:pPr>
        <w:pStyle w:val="ECHRPara"/>
        <w:rPr>
          <w:lang w:val="fr-FR"/>
        </w:rPr>
      </w:pPr>
      <w:r w:rsidRPr="00915031">
        <w:fldChar w:fldCharType="begin"/>
      </w:r>
      <w:r w:rsidRPr="00915031">
        <w:rPr>
          <w:lang w:val="fr-FR"/>
        </w:rPr>
        <w:instrText xml:space="preserve"> SEQ level0 \*arabic </w:instrText>
      </w:r>
      <w:r w:rsidRPr="00915031">
        <w:fldChar w:fldCharType="separate"/>
      </w:r>
      <w:r w:rsidR="00915031" w:rsidRPr="00915031">
        <w:rPr>
          <w:noProof/>
          <w:lang w:val="fr-FR"/>
        </w:rPr>
        <w:t>57</w:t>
      </w:r>
      <w:r w:rsidRPr="00915031">
        <w:rPr>
          <w:lang w:val="fr-FR"/>
        </w:rPr>
        <w:fldChar w:fldCharType="end"/>
      </w:r>
      <w:r w:rsidRPr="00915031">
        <w:rPr>
          <w:lang w:val="fr-FR"/>
        </w:rPr>
        <w:t>.  Le Gouvernement s</w:t>
      </w:r>
      <w:r w:rsidR="00915031" w:rsidRPr="00915031">
        <w:rPr>
          <w:lang w:val="fr-FR"/>
        </w:rPr>
        <w:t>’</w:t>
      </w:r>
      <w:r w:rsidRPr="00915031">
        <w:rPr>
          <w:lang w:val="fr-FR"/>
        </w:rPr>
        <w:t>oppose à ces prétentions.</w:t>
      </w:r>
    </w:p>
    <w:p w:rsidR="002C709F" w:rsidRPr="00915031" w:rsidRDefault="002C709F" w:rsidP="00915031">
      <w:pPr>
        <w:pStyle w:val="ECHRPara"/>
        <w:rPr>
          <w:lang w:val="fr-FR"/>
        </w:rPr>
      </w:pPr>
      <w:r w:rsidRPr="00915031">
        <w:fldChar w:fldCharType="begin"/>
      </w:r>
      <w:r w:rsidRPr="00915031">
        <w:rPr>
          <w:lang w:val="fr-FR"/>
        </w:rPr>
        <w:instrText xml:space="preserve"> SEQ level0 \*arabic </w:instrText>
      </w:r>
      <w:r w:rsidRPr="00915031">
        <w:fldChar w:fldCharType="separate"/>
      </w:r>
      <w:r w:rsidR="00915031" w:rsidRPr="00915031">
        <w:rPr>
          <w:noProof/>
          <w:lang w:val="fr-FR"/>
        </w:rPr>
        <w:t>58</w:t>
      </w:r>
      <w:r w:rsidRPr="00915031">
        <w:rPr>
          <w:lang w:val="fr-FR"/>
        </w:rPr>
        <w:fldChar w:fldCharType="end"/>
      </w:r>
      <w:r w:rsidRPr="00915031">
        <w:rPr>
          <w:lang w:val="fr-FR"/>
        </w:rPr>
        <w:t>.  La Cour estime que le sentiment d</w:t>
      </w:r>
      <w:r w:rsidR="00915031" w:rsidRPr="00915031">
        <w:rPr>
          <w:lang w:val="fr-FR"/>
        </w:rPr>
        <w:t>’</w:t>
      </w:r>
      <w:r w:rsidRPr="00915031">
        <w:rPr>
          <w:lang w:val="fr-FR"/>
        </w:rPr>
        <w:t>impuissance et de frustration face à la dépossession illégale de leur bien a causé aux requérants un préjudice moral qu</w:t>
      </w:r>
      <w:r w:rsidR="00915031" w:rsidRPr="00915031">
        <w:rPr>
          <w:lang w:val="fr-FR"/>
        </w:rPr>
        <w:t>’</w:t>
      </w:r>
      <w:r w:rsidRPr="00915031">
        <w:rPr>
          <w:lang w:val="fr-FR"/>
        </w:rPr>
        <w:t>il y a lieu de réparer de manière adéquate.</w:t>
      </w:r>
    </w:p>
    <w:p w:rsidR="002C709F" w:rsidRPr="00915031" w:rsidRDefault="002C709F" w:rsidP="00915031">
      <w:pPr>
        <w:pStyle w:val="ECHRPara"/>
        <w:rPr>
          <w:lang w:val="fr-FR"/>
        </w:rPr>
      </w:pPr>
      <w:r w:rsidRPr="00915031">
        <w:fldChar w:fldCharType="begin"/>
      </w:r>
      <w:r w:rsidRPr="00915031">
        <w:rPr>
          <w:lang w:val="fr-FR"/>
        </w:rPr>
        <w:instrText xml:space="preserve"> SEQ level0 \*arabic </w:instrText>
      </w:r>
      <w:r w:rsidRPr="00915031">
        <w:fldChar w:fldCharType="separate"/>
      </w:r>
      <w:r w:rsidR="00915031" w:rsidRPr="00915031">
        <w:rPr>
          <w:noProof/>
          <w:lang w:val="fr-FR"/>
        </w:rPr>
        <w:t>59</w:t>
      </w:r>
      <w:r w:rsidRPr="00915031">
        <w:rPr>
          <w:lang w:val="fr-FR"/>
        </w:rPr>
        <w:fldChar w:fldCharType="end"/>
      </w:r>
      <w:r w:rsidRPr="00915031">
        <w:rPr>
          <w:lang w:val="fr-FR"/>
        </w:rPr>
        <w:t>. </w:t>
      </w:r>
      <w:r w:rsidR="00B456B8" w:rsidRPr="00915031">
        <w:rPr>
          <w:lang w:val="fr-FR"/>
        </w:rPr>
        <w:t>Compte tenu des circonstances de l</w:t>
      </w:r>
      <w:r w:rsidR="00915031" w:rsidRPr="00915031">
        <w:rPr>
          <w:lang w:val="fr-FR"/>
        </w:rPr>
        <w:t>’</w:t>
      </w:r>
      <w:r w:rsidR="00B456B8" w:rsidRPr="00915031">
        <w:rPr>
          <w:lang w:val="fr-FR"/>
        </w:rPr>
        <w:t>espèce, et statuant en équité la</w:t>
      </w:r>
      <w:r w:rsidRPr="00915031">
        <w:rPr>
          <w:lang w:val="fr-FR"/>
        </w:rPr>
        <w:t xml:space="preserve"> Cour alloue aux requérants</w:t>
      </w:r>
      <w:r w:rsidR="003254EB" w:rsidRPr="00915031">
        <w:rPr>
          <w:lang w:val="fr-FR"/>
        </w:rPr>
        <w:t xml:space="preserve">, conjointement, </w:t>
      </w:r>
      <w:r w:rsidR="00517FC5" w:rsidRPr="00915031">
        <w:rPr>
          <w:lang w:val="fr-FR"/>
        </w:rPr>
        <w:t>5 000</w:t>
      </w:r>
      <w:r w:rsidRPr="00915031">
        <w:rPr>
          <w:lang w:val="fr-FR"/>
        </w:rPr>
        <w:t xml:space="preserve"> EUR à titre de dommage moral.</w:t>
      </w:r>
    </w:p>
    <w:p w:rsidR="00E77CB3" w:rsidRPr="00915031" w:rsidRDefault="004B2466" w:rsidP="00915031">
      <w:pPr>
        <w:pStyle w:val="ECHRHeading2"/>
        <w:rPr>
          <w:lang w:val="fr-FR"/>
        </w:rPr>
      </w:pPr>
      <w:r w:rsidRPr="00915031">
        <w:rPr>
          <w:lang w:val="fr-FR"/>
        </w:rPr>
        <w:lastRenderedPageBreak/>
        <w:t>C</w:t>
      </w:r>
      <w:r w:rsidR="00E77CB3" w:rsidRPr="00915031">
        <w:rPr>
          <w:lang w:val="fr-FR"/>
        </w:rPr>
        <w:t>.</w:t>
      </w:r>
      <w:proofErr w:type="gramStart"/>
      <w:r w:rsidR="00E77CB3" w:rsidRPr="00915031">
        <w:rPr>
          <w:lang w:val="fr-FR"/>
        </w:rPr>
        <w:t>  Frais</w:t>
      </w:r>
      <w:proofErr w:type="gramEnd"/>
      <w:r w:rsidR="00E77CB3" w:rsidRPr="00915031">
        <w:rPr>
          <w:lang w:val="fr-FR"/>
        </w:rPr>
        <w:t xml:space="preserve"> et dépens</w:t>
      </w:r>
    </w:p>
    <w:p w:rsidR="00A40EF7" w:rsidRPr="00915031" w:rsidRDefault="00457B85" w:rsidP="00915031">
      <w:pPr>
        <w:pStyle w:val="ECHRPara"/>
        <w:rPr>
          <w:lang w:val="fr-FR"/>
        </w:rPr>
      </w:pPr>
      <w:r w:rsidRPr="00915031">
        <w:rPr>
          <w:lang w:val="fr-FR"/>
        </w:rPr>
        <w:fldChar w:fldCharType="begin"/>
      </w:r>
      <w:r w:rsidRPr="00915031">
        <w:rPr>
          <w:lang w:val="fr-FR"/>
        </w:rPr>
        <w:instrText xml:space="preserve"> SEQ level0 \*arabic </w:instrText>
      </w:r>
      <w:r w:rsidRPr="00915031">
        <w:rPr>
          <w:lang w:val="fr-FR"/>
        </w:rPr>
        <w:fldChar w:fldCharType="separate"/>
      </w:r>
      <w:r w:rsidR="00915031" w:rsidRPr="00915031">
        <w:rPr>
          <w:noProof/>
          <w:lang w:val="fr-FR"/>
        </w:rPr>
        <w:t>60</w:t>
      </w:r>
      <w:r w:rsidRPr="00915031">
        <w:rPr>
          <w:lang w:val="fr-FR"/>
        </w:rPr>
        <w:fldChar w:fldCharType="end"/>
      </w:r>
      <w:r w:rsidR="00A40EF7" w:rsidRPr="00915031">
        <w:rPr>
          <w:lang w:val="fr-FR"/>
        </w:rPr>
        <w:t>.  Notes d</w:t>
      </w:r>
      <w:r w:rsidR="00915031" w:rsidRPr="00915031">
        <w:rPr>
          <w:lang w:val="fr-FR"/>
        </w:rPr>
        <w:t>’</w:t>
      </w:r>
      <w:r w:rsidR="00A40EF7" w:rsidRPr="00915031">
        <w:rPr>
          <w:lang w:val="fr-FR"/>
        </w:rPr>
        <w:t>honoraires à l</w:t>
      </w:r>
      <w:r w:rsidR="00915031" w:rsidRPr="00915031">
        <w:rPr>
          <w:lang w:val="fr-FR"/>
        </w:rPr>
        <w:t>’</w:t>
      </w:r>
      <w:r w:rsidR="00A40EF7" w:rsidRPr="00915031">
        <w:rPr>
          <w:lang w:val="fr-FR"/>
        </w:rPr>
        <w:t xml:space="preserve">appui, les requérants demandent également </w:t>
      </w:r>
      <w:r w:rsidR="007220AB" w:rsidRPr="00915031">
        <w:rPr>
          <w:lang w:val="fr-FR"/>
        </w:rPr>
        <w:t xml:space="preserve">le remboursement de </w:t>
      </w:r>
      <w:r w:rsidR="00A40EF7" w:rsidRPr="00915031">
        <w:rPr>
          <w:lang w:val="fr-FR"/>
        </w:rPr>
        <w:t>90 000 EUR pour les frais et dépens engagés devant les juridictions internes et devant la Cour.</w:t>
      </w:r>
    </w:p>
    <w:p w:rsidR="00A40EF7" w:rsidRPr="00915031" w:rsidRDefault="00A40EF7" w:rsidP="00915031">
      <w:pPr>
        <w:pStyle w:val="ECHRPara"/>
        <w:rPr>
          <w:lang w:val="fr-FR"/>
        </w:rPr>
      </w:pPr>
      <w:r w:rsidRPr="00915031">
        <w:fldChar w:fldCharType="begin"/>
      </w:r>
      <w:r w:rsidRPr="00915031">
        <w:rPr>
          <w:lang w:val="fr-FR"/>
        </w:rPr>
        <w:instrText xml:space="preserve"> SEQ level0 \*arabic </w:instrText>
      </w:r>
      <w:r w:rsidRPr="00915031">
        <w:fldChar w:fldCharType="separate"/>
      </w:r>
      <w:r w:rsidR="00915031" w:rsidRPr="00915031">
        <w:rPr>
          <w:noProof/>
          <w:lang w:val="fr-FR"/>
        </w:rPr>
        <w:t>61</w:t>
      </w:r>
      <w:r w:rsidRPr="00915031">
        <w:rPr>
          <w:lang w:val="fr-FR"/>
        </w:rPr>
        <w:fldChar w:fldCharType="end"/>
      </w:r>
      <w:r w:rsidRPr="00915031">
        <w:rPr>
          <w:lang w:val="fr-FR"/>
        </w:rPr>
        <w:t>.  Le Gouvernement s</w:t>
      </w:r>
      <w:r w:rsidR="00915031" w:rsidRPr="00915031">
        <w:rPr>
          <w:lang w:val="fr-FR"/>
        </w:rPr>
        <w:t>’</w:t>
      </w:r>
      <w:r w:rsidRPr="00915031">
        <w:rPr>
          <w:lang w:val="fr-FR"/>
        </w:rPr>
        <w:t>oppose à ces prétentions.</w:t>
      </w:r>
    </w:p>
    <w:p w:rsidR="00A40EF7" w:rsidRPr="00915031" w:rsidRDefault="00A40EF7" w:rsidP="00915031">
      <w:pPr>
        <w:pStyle w:val="ECHRPara"/>
        <w:rPr>
          <w:lang w:val="fr-FR"/>
        </w:rPr>
      </w:pPr>
      <w:r w:rsidRPr="00915031">
        <w:fldChar w:fldCharType="begin"/>
      </w:r>
      <w:r w:rsidRPr="00915031">
        <w:rPr>
          <w:lang w:val="fr-FR"/>
        </w:rPr>
        <w:instrText xml:space="preserve"> SEQ level0 \*arabic </w:instrText>
      </w:r>
      <w:r w:rsidRPr="00915031">
        <w:fldChar w:fldCharType="separate"/>
      </w:r>
      <w:r w:rsidR="00915031" w:rsidRPr="00915031">
        <w:rPr>
          <w:noProof/>
          <w:lang w:val="fr-FR"/>
        </w:rPr>
        <w:t>62</w:t>
      </w:r>
      <w:r w:rsidRPr="00915031">
        <w:rPr>
          <w:lang w:val="fr-FR"/>
        </w:rPr>
        <w:fldChar w:fldCharType="end"/>
      </w:r>
      <w:r w:rsidRPr="00915031">
        <w:rPr>
          <w:lang w:val="fr-FR"/>
        </w:rPr>
        <w:t>.  La Cour ne doute pas de la nécessité d</w:t>
      </w:r>
      <w:r w:rsidR="00915031" w:rsidRPr="00915031">
        <w:rPr>
          <w:lang w:val="fr-FR"/>
        </w:rPr>
        <w:t>’</w:t>
      </w:r>
      <w:r w:rsidRPr="00915031">
        <w:rPr>
          <w:lang w:val="fr-FR"/>
        </w:rPr>
        <w:t>engager des frais, mais elle considère excessive la somme réclamée.</w:t>
      </w:r>
    </w:p>
    <w:p w:rsidR="00A40EF7" w:rsidRPr="00915031" w:rsidRDefault="00A40EF7" w:rsidP="00915031">
      <w:pPr>
        <w:pStyle w:val="ECHRPara"/>
        <w:rPr>
          <w:lang w:val="fr-FR"/>
        </w:rPr>
      </w:pPr>
      <w:r w:rsidRPr="00915031">
        <w:fldChar w:fldCharType="begin"/>
      </w:r>
      <w:r w:rsidRPr="00915031">
        <w:rPr>
          <w:lang w:val="fr-FR"/>
        </w:rPr>
        <w:instrText xml:space="preserve"> SEQ level0 \*arabic </w:instrText>
      </w:r>
      <w:r w:rsidRPr="00915031">
        <w:fldChar w:fldCharType="separate"/>
      </w:r>
      <w:r w:rsidR="00915031" w:rsidRPr="00915031">
        <w:rPr>
          <w:noProof/>
          <w:lang w:val="fr-FR"/>
        </w:rPr>
        <w:t>63</w:t>
      </w:r>
      <w:r w:rsidRPr="00915031">
        <w:rPr>
          <w:lang w:val="fr-FR"/>
        </w:rPr>
        <w:fldChar w:fldCharType="end"/>
      </w:r>
      <w:r w:rsidRPr="00915031">
        <w:rPr>
          <w:lang w:val="fr-FR"/>
        </w:rPr>
        <w:t>.  Compte tenu des circonstances de la cause, elle juge raisonnable d</w:t>
      </w:r>
      <w:r w:rsidR="00915031" w:rsidRPr="00915031">
        <w:rPr>
          <w:lang w:val="fr-FR"/>
        </w:rPr>
        <w:t>’</w:t>
      </w:r>
      <w:r w:rsidRPr="00915031">
        <w:rPr>
          <w:lang w:val="fr-FR"/>
        </w:rPr>
        <w:t>allouer un montant de 5 000 EUR pour l</w:t>
      </w:r>
      <w:r w:rsidR="00915031" w:rsidRPr="00915031">
        <w:rPr>
          <w:lang w:val="fr-FR"/>
        </w:rPr>
        <w:t>’</w:t>
      </w:r>
      <w:r w:rsidRPr="00915031">
        <w:rPr>
          <w:lang w:val="fr-FR"/>
        </w:rPr>
        <w:t>ensemble de frais exposés</w:t>
      </w:r>
      <w:r w:rsidR="00470274" w:rsidRPr="00915031">
        <w:rPr>
          <w:lang w:val="fr-FR"/>
        </w:rPr>
        <w:t xml:space="preserve"> par les requérants</w:t>
      </w:r>
      <w:r w:rsidRPr="00915031">
        <w:rPr>
          <w:lang w:val="fr-FR"/>
        </w:rPr>
        <w:t>.</w:t>
      </w:r>
    </w:p>
    <w:p w:rsidR="00E77CB3" w:rsidRPr="00915031" w:rsidRDefault="004B2466" w:rsidP="00915031">
      <w:pPr>
        <w:pStyle w:val="ECHRHeading2"/>
        <w:rPr>
          <w:lang w:val="fr-FR"/>
        </w:rPr>
      </w:pPr>
      <w:r w:rsidRPr="00915031">
        <w:rPr>
          <w:lang w:val="fr-FR"/>
        </w:rPr>
        <w:t>D</w:t>
      </w:r>
      <w:r w:rsidR="00E77CB3" w:rsidRPr="00915031">
        <w:rPr>
          <w:lang w:val="fr-FR"/>
        </w:rPr>
        <w:t>.</w:t>
      </w:r>
      <w:proofErr w:type="gramStart"/>
      <w:r w:rsidR="00E77CB3" w:rsidRPr="00915031">
        <w:rPr>
          <w:lang w:val="fr-FR"/>
        </w:rPr>
        <w:t>  Intérêts</w:t>
      </w:r>
      <w:proofErr w:type="gramEnd"/>
      <w:r w:rsidR="00E77CB3" w:rsidRPr="00915031">
        <w:rPr>
          <w:lang w:val="fr-FR"/>
        </w:rPr>
        <w:t xml:space="preserve"> moratoires</w:t>
      </w:r>
    </w:p>
    <w:p w:rsidR="00E77CB3" w:rsidRPr="00915031" w:rsidRDefault="00457B85" w:rsidP="00915031">
      <w:pPr>
        <w:pStyle w:val="ECHRPara"/>
        <w:rPr>
          <w:lang w:val="fr-FR"/>
        </w:rPr>
      </w:pPr>
      <w:r w:rsidRPr="00915031">
        <w:rPr>
          <w:lang w:val="fr-FR"/>
        </w:rPr>
        <w:fldChar w:fldCharType="begin"/>
      </w:r>
      <w:r w:rsidRPr="00915031">
        <w:rPr>
          <w:lang w:val="fr-FR"/>
        </w:rPr>
        <w:instrText xml:space="preserve"> SEQ level0 \*arabic </w:instrText>
      </w:r>
      <w:r w:rsidRPr="00915031">
        <w:rPr>
          <w:lang w:val="fr-FR"/>
        </w:rPr>
        <w:fldChar w:fldCharType="separate"/>
      </w:r>
      <w:r w:rsidR="00915031" w:rsidRPr="00915031">
        <w:rPr>
          <w:noProof/>
          <w:lang w:val="fr-FR"/>
        </w:rPr>
        <w:t>64</w:t>
      </w:r>
      <w:r w:rsidRPr="00915031">
        <w:rPr>
          <w:lang w:val="fr-FR"/>
        </w:rPr>
        <w:fldChar w:fldCharType="end"/>
      </w:r>
      <w:r w:rsidR="00E77CB3" w:rsidRPr="00915031">
        <w:rPr>
          <w:lang w:val="fr-FR"/>
        </w:rPr>
        <w:t>.  La Cour juge approprié de calquer le taux des intérêts moratoires sur le taux d</w:t>
      </w:r>
      <w:r w:rsidR="00915031" w:rsidRPr="00915031">
        <w:rPr>
          <w:lang w:val="fr-FR"/>
        </w:rPr>
        <w:t>’</w:t>
      </w:r>
      <w:r w:rsidR="00E77CB3" w:rsidRPr="00915031">
        <w:rPr>
          <w:lang w:val="fr-FR"/>
        </w:rPr>
        <w:t>intérêt de la facilité de prêt marginal de la Banque centrale européenne majoré de trois points de pourcentage.</w:t>
      </w:r>
    </w:p>
    <w:p w:rsidR="00E77CB3" w:rsidRPr="00915031" w:rsidRDefault="00E77CB3" w:rsidP="00915031">
      <w:pPr>
        <w:pStyle w:val="ECHRTitle1"/>
        <w:rPr>
          <w:lang w:val="fr-FR"/>
        </w:rPr>
      </w:pPr>
      <w:r w:rsidRPr="00915031">
        <w:rPr>
          <w:lang w:val="fr-FR"/>
        </w:rPr>
        <w:t>PAR CES MOTIFS, LA COUR</w:t>
      </w:r>
      <w:r w:rsidR="00457B85" w:rsidRPr="00915031">
        <w:rPr>
          <w:lang w:val="fr-FR"/>
        </w:rPr>
        <w:t>, À L</w:t>
      </w:r>
      <w:r w:rsidR="00915031" w:rsidRPr="00915031">
        <w:rPr>
          <w:lang w:val="fr-FR"/>
        </w:rPr>
        <w:t>’</w:t>
      </w:r>
      <w:r w:rsidR="00457B85" w:rsidRPr="00915031">
        <w:rPr>
          <w:lang w:val="fr-FR"/>
        </w:rPr>
        <w:t>UNANIMITÉ,</w:t>
      </w:r>
    </w:p>
    <w:p w:rsidR="00274E2F" w:rsidRPr="00915031" w:rsidRDefault="00FB2B45" w:rsidP="00915031">
      <w:pPr>
        <w:pStyle w:val="JuList"/>
        <w:rPr>
          <w:lang w:val="fr-FR"/>
        </w:rPr>
      </w:pPr>
      <w:r w:rsidRPr="00915031">
        <w:rPr>
          <w:lang w:val="fr-FR"/>
        </w:rPr>
        <w:t>1.  </w:t>
      </w:r>
      <w:r w:rsidR="00274E2F" w:rsidRPr="00915031">
        <w:rPr>
          <w:i/>
          <w:lang w:val="fr-FR"/>
        </w:rPr>
        <w:t>Rejette</w:t>
      </w:r>
      <w:r w:rsidR="00274E2F" w:rsidRPr="00915031">
        <w:rPr>
          <w:lang w:val="fr-FR"/>
        </w:rPr>
        <w:t xml:space="preserve"> la demande de radiation du rôle de la requête ;</w:t>
      </w:r>
    </w:p>
    <w:p w:rsidR="00274E2F" w:rsidRPr="00915031" w:rsidRDefault="00274E2F" w:rsidP="00915031">
      <w:pPr>
        <w:pStyle w:val="JuList"/>
        <w:rPr>
          <w:lang w:val="fr-FR"/>
        </w:rPr>
      </w:pPr>
    </w:p>
    <w:p w:rsidR="00AE7A0D" w:rsidRPr="00915031" w:rsidRDefault="00274E2F" w:rsidP="00915031">
      <w:pPr>
        <w:pStyle w:val="JuList"/>
        <w:rPr>
          <w:b/>
          <w:lang w:val="fr-FR"/>
        </w:rPr>
      </w:pPr>
      <w:r w:rsidRPr="00915031">
        <w:rPr>
          <w:lang w:val="fr-FR"/>
        </w:rPr>
        <w:t>2.</w:t>
      </w:r>
      <w:r w:rsidR="00B5007E" w:rsidRPr="00915031">
        <w:rPr>
          <w:lang w:val="fr-FR"/>
        </w:rPr>
        <w:t>  </w:t>
      </w:r>
      <w:r w:rsidR="00FB2B45" w:rsidRPr="00915031">
        <w:rPr>
          <w:i/>
          <w:lang w:val="fr-FR"/>
        </w:rPr>
        <w:t>Déclare</w:t>
      </w:r>
      <w:r w:rsidR="00FB2B45" w:rsidRPr="00915031">
        <w:rPr>
          <w:lang w:val="fr-FR"/>
        </w:rPr>
        <w:t xml:space="preserve"> </w:t>
      </w:r>
      <w:r w:rsidR="00AE7A0D" w:rsidRPr="00915031">
        <w:rPr>
          <w:lang w:val="fr-FR"/>
        </w:rPr>
        <w:t>la requête recevable quant aux griefs tirés de l</w:t>
      </w:r>
      <w:r w:rsidR="00915031" w:rsidRPr="00915031">
        <w:rPr>
          <w:lang w:val="fr-FR"/>
        </w:rPr>
        <w:t>’</w:t>
      </w:r>
      <w:r w:rsidR="00AE7A0D" w:rsidRPr="00915031">
        <w:rPr>
          <w:lang w:val="fr-FR"/>
        </w:rPr>
        <w:t>article 1 du Protocole n</w:t>
      </w:r>
      <w:r w:rsidR="00AE7A0D" w:rsidRPr="00915031">
        <w:rPr>
          <w:vertAlign w:val="superscript"/>
          <w:lang w:val="fr-FR"/>
        </w:rPr>
        <w:t>o</w:t>
      </w:r>
      <w:r w:rsidR="00FD4BAD" w:rsidRPr="00915031">
        <w:rPr>
          <w:lang w:val="fr-FR"/>
        </w:rPr>
        <w:t xml:space="preserve"> 1 et</w:t>
      </w:r>
      <w:r w:rsidR="00AE7A0D" w:rsidRPr="00915031">
        <w:rPr>
          <w:lang w:val="fr-FR"/>
        </w:rPr>
        <w:t xml:space="preserve"> </w:t>
      </w:r>
      <w:r w:rsidR="006E4ECE" w:rsidRPr="00915031">
        <w:rPr>
          <w:lang w:val="fr-FR"/>
        </w:rPr>
        <w:t>de l</w:t>
      </w:r>
      <w:r w:rsidR="00915031" w:rsidRPr="00915031">
        <w:rPr>
          <w:lang w:val="fr-FR"/>
        </w:rPr>
        <w:t>’</w:t>
      </w:r>
      <w:r w:rsidR="006E4ECE" w:rsidRPr="00915031">
        <w:rPr>
          <w:lang w:val="fr-FR"/>
        </w:rPr>
        <w:t xml:space="preserve">article </w:t>
      </w:r>
      <w:r w:rsidR="00AE7A0D" w:rsidRPr="00915031">
        <w:rPr>
          <w:lang w:val="fr-FR"/>
        </w:rPr>
        <w:t>6 § 1 de la Convention, et irrecevable pour le surplus ;</w:t>
      </w:r>
    </w:p>
    <w:p w:rsidR="00E77CB3" w:rsidRPr="00915031" w:rsidRDefault="00E77CB3" w:rsidP="00915031">
      <w:pPr>
        <w:pStyle w:val="JuList"/>
        <w:rPr>
          <w:lang w:val="fr-FR"/>
        </w:rPr>
      </w:pPr>
    </w:p>
    <w:p w:rsidR="00E77CB3" w:rsidRPr="00915031" w:rsidRDefault="00274E2F" w:rsidP="00915031">
      <w:pPr>
        <w:pStyle w:val="JuList"/>
        <w:rPr>
          <w:lang w:val="fr-FR"/>
        </w:rPr>
      </w:pPr>
      <w:r w:rsidRPr="00915031">
        <w:rPr>
          <w:lang w:val="fr-FR"/>
        </w:rPr>
        <w:t>3</w:t>
      </w:r>
      <w:r w:rsidR="00E77CB3" w:rsidRPr="00915031">
        <w:rPr>
          <w:lang w:val="fr-FR"/>
        </w:rPr>
        <w:t>.  </w:t>
      </w:r>
      <w:r w:rsidR="00E77CB3" w:rsidRPr="00915031">
        <w:rPr>
          <w:i/>
          <w:lang w:val="fr-FR"/>
        </w:rPr>
        <w:t>Dit</w:t>
      </w:r>
      <w:r w:rsidR="00457B85" w:rsidRPr="00915031">
        <w:rPr>
          <w:lang w:val="fr-FR"/>
        </w:rPr>
        <w:t xml:space="preserve"> </w:t>
      </w:r>
      <w:r w:rsidR="00045502" w:rsidRPr="00915031">
        <w:rPr>
          <w:lang w:val="fr-FR"/>
        </w:rPr>
        <w:t>qu</w:t>
      </w:r>
      <w:r w:rsidR="00915031" w:rsidRPr="00915031">
        <w:rPr>
          <w:lang w:val="fr-FR"/>
        </w:rPr>
        <w:t>’</w:t>
      </w:r>
      <w:r w:rsidR="00045502" w:rsidRPr="00915031">
        <w:rPr>
          <w:lang w:val="fr-FR"/>
        </w:rPr>
        <w:t>il y a eu violation de l</w:t>
      </w:r>
      <w:r w:rsidR="00915031" w:rsidRPr="00915031">
        <w:rPr>
          <w:lang w:val="fr-FR"/>
        </w:rPr>
        <w:t>’</w:t>
      </w:r>
      <w:r w:rsidR="00045502" w:rsidRPr="00915031">
        <w:rPr>
          <w:lang w:val="fr-FR"/>
        </w:rPr>
        <w:t>article 1 du Protocole n</w:t>
      </w:r>
      <w:r w:rsidR="00045502" w:rsidRPr="00915031">
        <w:rPr>
          <w:vertAlign w:val="superscript"/>
          <w:lang w:val="fr-FR"/>
        </w:rPr>
        <w:t>o</w:t>
      </w:r>
      <w:r w:rsidR="00045502" w:rsidRPr="00915031">
        <w:rPr>
          <w:lang w:val="fr-FR"/>
        </w:rPr>
        <w:t xml:space="preserve"> 1 ;</w:t>
      </w:r>
    </w:p>
    <w:p w:rsidR="00E77CB3" w:rsidRPr="00915031" w:rsidRDefault="00E77CB3" w:rsidP="00915031">
      <w:pPr>
        <w:pStyle w:val="JuList"/>
        <w:rPr>
          <w:lang w:val="fr-FR"/>
        </w:rPr>
      </w:pPr>
    </w:p>
    <w:p w:rsidR="00E77CB3" w:rsidRPr="00915031" w:rsidRDefault="00274E2F" w:rsidP="00915031">
      <w:pPr>
        <w:pStyle w:val="JuList"/>
        <w:rPr>
          <w:lang w:val="fr-FR"/>
        </w:rPr>
      </w:pPr>
      <w:r w:rsidRPr="00915031">
        <w:rPr>
          <w:lang w:val="fr-FR"/>
        </w:rPr>
        <w:t>4</w:t>
      </w:r>
      <w:r w:rsidR="00E77CB3" w:rsidRPr="00915031">
        <w:rPr>
          <w:lang w:val="fr-FR"/>
        </w:rPr>
        <w:t>.  </w:t>
      </w:r>
      <w:r w:rsidR="00E77CB3" w:rsidRPr="00915031">
        <w:rPr>
          <w:i/>
          <w:lang w:val="fr-FR"/>
        </w:rPr>
        <w:t>Dit</w:t>
      </w:r>
      <w:r w:rsidR="00457B85" w:rsidRPr="00915031">
        <w:rPr>
          <w:lang w:val="fr-FR"/>
        </w:rPr>
        <w:t xml:space="preserve"> </w:t>
      </w:r>
      <w:r w:rsidR="00743248" w:rsidRPr="00915031">
        <w:rPr>
          <w:lang w:val="fr-FR"/>
        </w:rPr>
        <w:t>qu</w:t>
      </w:r>
      <w:r w:rsidR="00915031" w:rsidRPr="00915031">
        <w:rPr>
          <w:lang w:val="fr-FR"/>
        </w:rPr>
        <w:t>’</w:t>
      </w:r>
      <w:r w:rsidR="00743248" w:rsidRPr="00915031">
        <w:rPr>
          <w:lang w:val="fr-FR"/>
        </w:rPr>
        <w:t>il n</w:t>
      </w:r>
      <w:r w:rsidR="00915031" w:rsidRPr="00915031">
        <w:rPr>
          <w:lang w:val="fr-FR"/>
        </w:rPr>
        <w:t>’</w:t>
      </w:r>
      <w:r w:rsidR="00743248" w:rsidRPr="00915031">
        <w:rPr>
          <w:lang w:val="fr-FR"/>
        </w:rPr>
        <w:t>y a pa</w:t>
      </w:r>
      <w:r w:rsidR="00FD4BAD" w:rsidRPr="00915031">
        <w:rPr>
          <w:lang w:val="fr-FR"/>
        </w:rPr>
        <w:t>s lieu d</w:t>
      </w:r>
      <w:r w:rsidR="00915031" w:rsidRPr="00915031">
        <w:rPr>
          <w:lang w:val="fr-FR"/>
        </w:rPr>
        <w:t>’</w:t>
      </w:r>
      <w:r w:rsidR="00FD4BAD" w:rsidRPr="00915031">
        <w:rPr>
          <w:lang w:val="fr-FR"/>
        </w:rPr>
        <w:t>examiner séparément le grief tiré</w:t>
      </w:r>
      <w:r w:rsidR="00743248" w:rsidRPr="00915031">
        <w:rPr>
          <w:lang w:val="fr-FR"/>
        </w:rPr>
        <w:t xml:space="preserve"> de</w:t>
      </w:r>
      <w:r w:rsidR="00FD4BAD" w:rsidRPr="00915031">
        <w:rPr>
          <w:lang w:val="fr-FR"/>
        </w:rPr>
        <w:t xml:space="preserve"> l</w:t>
      </w:r>
      <w:r w:rsidR="00915031" w:rsidRPr="00915031">
        <w:rPr>
          <w:lang w:val="fr-FR"/>
        </w:rPr>
        <w:t>’</w:t>
      </w:r>
      <w:r w:rsidR="00743248" w:rsidRPr="00915031">
        <w:rPr>
          <w:lang w:val="fr-FR"/>
        </w:rPr>
        <w:t>article 6</w:t>
      </w:r>
      <w:r w:rsidR="00CB0253" w:rsidRPr="00915031">
        <w:rPr>
          <w:lang w:val="fr-FR"/>
        </w:rPr>
        <w:t> </w:t>
      </w:r>
      <w:r w:rsidR="00743248" w:rsidRPr="00915031">
        <w:rPr>
          <w:lang w:val="fr-FR"/>
        </w:rPr>
        <w:t>§</w:t>
      </w:r>
      <w:r w:rsidR="00CB0253" w:rsidRPr="00915031">
        <w:rPr>
          <w:lang w:val="fr-FR"/>
        </w:rPr>
        <w:t> </w:t>
      </w:r>
      <w:r w:rsidR="00743248" w:rsidRPr="00915031">
        <w:rPr>
          <w:lang w:val="fr-FR"/>
        </w:rPr>
        <w:t>1 de la Convention </w:t>
      </w:r>
      <w:r w:rsidR="00E77CB3" w:rsidRPr="00915031">
        <w:rPr>
          <w:lang w:val="fr-FR"/>
        </w:rPr>
        <w:t>;</w:t>
      </w:r>
    </w:p>
    <w:p w:rsidR="00E77CB3" w:rsidRPr="00915031" w:rsidRDefault="00E77CB3" w:rsidP="00915031">
      <w:pPr>
        <w:pStyle w:val="JuList"/>
        <w:rPr>
          <w:lang w:val="fr-FR"/>
        </w:rPr>
      </w:pPr>
    </w:p>
    <w:p w:rsidR="001B34C8" w:rsidRPr="00915031" w:rsidRDefault="00274E2F" w:rsidP="00915031">
      <w:pPr>
        <w:pStyle w:val="JuList"/>
        <w:rPr>
          <w:lang w:val="fr-FR"/>
        </w:rPr>
      </w:pPr>
      <w:r w:rsidRPr="00915031">
        <w:rPr>
          <w:lang w:val="fr-FR"/>
        </w:rPr>
        <w:t>5</w:t>
      </w:r>
      <w:r w:rsidR="00E77CB3" w:rsidRPr="00915031">
        <w:rPr>
          <w:lang w:val="fr-FR"/>
        </w:rPr>
        <w:t>.  </w:t>
      </w:r>
      <w:r w:rsidR="00E77CB3" w:rsidRPr="00915031">
        <w:rPr>
          <w:i/>
          <w:lang w:val="fr-FR"/>
        </w:rPr>
        <w:t>Dit</w:t>
      </w:r>
    </w:p>
    <w:p w:rsidR="00E77CB3" w:rsidRPr="00915031" w:rsidRDefault="00E77CB3" w:rsidP="00915031">
      <w:pPr>
        <w:pStyle w:val="JuLista"/>
        <w:rPr>
          <w:lang w:val="fr-FR"/>
        </w:rPr>
      </w:pPr>
      <w:r w:rsidRPr="00915031">
        <w:rPr>
          <w:lang w:val="fr-FR"/>
        </w:rPr>
        <w:t>a)  que l</w:t>
      </w:r>
      <w:r w:rsidR="00915031" w:rsidRPr="00915031">
        <w:rPr>
          <w:lang w:val="fr-FR"/>
        </w:rPr>
        <w:t>’</w:t>
      </w:r>
      <w:r w:rsidRPr="00915031">
        <w:rPr>
          <w:lang w:val="fr-FR"/>
        </w:rPr>
        <w:t xml:space="preserve">État défendeur doit verser </w:t>
      </w:r>
      <w:r w:rsidR="00457B85" w:rsidRPr="00915031">
        <w:rPr>
          <w:lang w:val="fr-FR"/>
        </w:rPr>
        <w:t>aux requérants</w:t>
      </w:r>
      <w:r w:rsidRPr="00915031">
        <w:rPr>
          <w:lang w:val="fr-FR"/>
        </w:rPr>
        <w:t>,</w:t>
      </w:r>
      <w:r w:rsidR="00915653" w:rsidRPr="00915031">
        <w:rPr>
          <w:lang w:val="fr-FR"/>
        </w:rPr>
        <w:t xml:space="preserve"> conjointement,</w:t>
      </w:r>
      <w:r w:rsidRPr="00915031">
        <w:rPr>
          <w:lang w:val="fr-FR"/>
        </w:rPr>
        <w:t xml:space="preserve"> </w:t>
      </w:r>
      <w:r w:rsidR="00383ED6" w:rsidRPr="00915031">
        <w:rPr>
          <w:lang w:val="fr-FR"/>
        </w:rPr>
        <w:t>dans les trois mois à compter du jour où l</w:t>
      </w:r>
      <w:r w:rsidR="00915031" w:rsidRPr="00915031">
        <w:rPr>
          <w:lang w:val="fr-FR"/>
        </w:rPr>
        <w:t>’</w:t>
      </w:r>
      <w:r w:rsidR="00383ED6" w:rsidRPr="00915031">
        <w:rPr>
          <w:lang w:val="fr-FR"/>
        </w:rPr>
        <w:t>arrêt sera devenu définitif conformément à l</w:t>
      </w:r>
      <w:r w:rsidR="00915031" w:rsidRPr="00915031">
        <w:rPr>
          <w:lang w:val="fr-FR"/>
        </w:rPr>
        <w:t>’</w:t>
      </w:r>
      <w:r w:rsidR="00383ED6" w:rsidRPr="00915031">
        <w:rPr>
          <w:lang w:val="fr-FR"/>
        </w:rPr>
        <w:t>article 44 § 2 de la Convention</w:t>
      </w:r>
      <w:r w:rsidRPr="00915031">
        <w:rPr>
          <w:lang w:val="fr-FR"/>
        </w:rPr>
        <w:t xml:space="preserve">, les sommes </w:t>
      </w:r>
      <w:proofErr w:type="gramStart"/>
      <w:r w:rsidRPr="00915031">
        <w:rPr>
          <w:lang w:val="fr-FR"/>
        </w:rPr>
        <w:t>suivantes:</w:t>
      </w:r>
      <w:proofErr w:type="gramEnd"/>
    </w:p>
    <w:p w:rsidR="00E77CB3" w:rsidRPr="00915031" w:rsidRDefault="00E77CB3" w:rsidP="00915031">
      <w:pPr>
        <w:pStyle w:val="JuListi"/>
        <w:rPr>
          <w:lang w:val="fr-FR" w:eastAsia="en-GB"/>
        </w:rPr>
      </w:pPr>
      <w:r w:rsidRPr="00915031">
        <w:rPr>
          <w:lang w:val="fr-FR" w:eastAsia="en-GB"/>
        </w:rPr>
        <w:t>i</w:t>
      </w:r>
      <w:r w:rsidR="006E4ECE" w:rsidRPr="00915031">
        <w:rPr>
          <w:lang w:val="fr-FR" w:eastAsia="en-GB"/>
        </w:rPr>
        <w:t>.</w:t>
      </w:r>
      <w:r w:rsidRPr="00915031">
        <w:rPr>
          <w:lang w:val="fr-FR" w:eastAsia="en-GB"/>
        </w:rPr>
        <w:t>  </w:t>
      </w:r>
      <w:r w:rsidR="005D5681" w:rsidRPr="00915031">
        <w:rPr>
          <w:lang w:val="fr-FR" w:eastAsia="en-GB"/>
        </w:rPr>
        <w:t>326 300 EUR (t</w:t>
      </w:r>
      <w:r w:rsidR="00EE3A79" w:rsidRPr="00915031">
        <w:rPr>
          <w:lang w:val="fr-FR" w:eastAsia="en-GB"/>
        </w:rPr>
        <w:t>rois cent vingt-six mille trois cent euros</w:t>
      </w:r>
      <w:r w:rsidR="006E4ECE" w:rsidRPr="00915031">
        <w:rPr>
          <w:lang w:val="fr-FR" w:eastAsia="en-GB"/>
        </w:rPr>
        <w:t>)</w:t>
      </w:r>
      <w:r w:rsidRPr="00915031">
        <w:rPr>
          <w:lang w:val="fr-FR" w:eastAsia="en-GB"/>
        </w:rPr>
        <w:t>, plus tout montant pouvant être dû à titre d</w:t>
      </w:r>
      <w:r w:rsidR="00915031" w:rsidRPr="00915031">
        <w:rPr>
          <w:lang w:val="fr-FR" w:eastAsia="en-GB"/>
        </w:rPr>
        <w:t>’</w:t>
      </w:r>
      <w:r w:rsidRPr="00915031">
        <w:rPr>
          <w:lang w:val="fr-FR" w:eastAsia="en-GB"/>
        </w:rPr>
        <w:t>impôt, pour dommage matériel ;</w:t>
      </w:r>
    </w:p>
    <w:p w:rsidR="00E77CB3" w:rsidRPr="00915031" w:rsidRDefault="00E77CB3" w:rsidP="00915031">
      <w:pPr>
        <w:pStyle w:val="JuListi"/>
        <w:rPr>
          <w:lang w:val="fr-FR" w:eastAsia="en-GB"/>
        </w:rPr>
      </w:pPr>
      <w:r w:rsidRPr="00915031">
        <w:rPr>
          <w:lang w:val="fr-FR" w:eastAsia="en-GB"/>
        </w:rPr>
        <w:t>ii</w:t>
      </w:r>
      <w:r w:rsidR="006E4ECE" w:rsidRPr="00915031">
        <w:rPr>
          <w:lang w:val="fr-FR" w:eastAsia="en-GB"/>
        </w:rPr>
        <w:t>.</w:t>
      </w:r>
      <w:proofErr w:type="gramStart"/>
      <w:r w:rsidRPr="00915031">
        <w:rPr>
          <w:lang w:val="fr-FR" w:eastAsia="en-GB"/>
        </w:rPr>
        <w:t>  </w:t>
      </w:r>
      <w:r w:rsidR="00B03F45" w:rsidRPr="00915031">
        <w:rPr>
          <w:lang w:val="fr-FR" w:eastAsia="en-GB"/>
        </w:rPr>
        <w:t>5</w:t>
      </w:r>
      <w:proofErr w:type="gramEnd"/>
      <w:r w:rsidR="00B03F45" w:rsidRPr="00915031">
        <w:rPr>
          <w:lang w:val="fr-FR" w:eastAsia="en-GB"/>
        </w:rPr>
        <w:t xml:space="preserve"> 000</w:t>
      </w:r>
      <w:r w:rsidR="00B46622" w:rsidRPr="00915031">
        <w:rPr>
          <w:lang w:val="fr-FR" w:eastAsia="en-GB"/>
        </w:rPr>
        <w:t xml:space="preserve"> EUR (</w:t>
      </w:r>
      <w:r w:rsidR="00B03F45" w:rsidRPr="00915031">
        <w:rPr>
          <w:lang w:val="fr-FR" w:eastAsia="en-GB"/>
        </w:rPr>
        <w:t>cinq mille euros</w:t>
      </w:r>
      <w:r w:rsidR="00B46622" w:rsidRPr="00915031">
        <w:rPr>
          <w:lang w:val="fr-FR" w:eastAsia="en-GB"/>
        </w:rPr>
        <w:t>),</w:t>
      </w:r>
      <w:r w:rsidRPr="00915031">
        <w:rPr>
          <w:lang w:val="fr-FR" w:eastAsia="en-GB"/>
        </w:rPr>
        <w:t xml:space="preserve"> plus tout montant pouvant être dû à titre d</w:t>
      </w:r>
      <w:r w:rsidR="00915031" w:rsidRPr="00915031">
        <w:rPr>
          <w:lang w:val="fr-FR" w:eastAsia="en-GB"/>
        </w:rPr>
        <w:t>’</w:t>
      </w:r>
      <w:r w:rsidRPr="00915031">
        <w:rPr>
          <w:lang w:val="fr-FR" w:eastAsia="en-GB"/>
        </w:rPr>
        <w:t>impôt, pour dommage moral ;</w:t>
      </w:r>
    </w:p>
    <w:p w:rsidR="00E77CB3" w:rsidRPr="00915031" w:rsidRDefault="00E77CB3" w:rsidP="00915031">
      <w:pPr>
        <w:pStyle w:val="JuListi"/>
        <w:rPr>
          <w:lang w:val="fr-FR" w:eastAsia="en-GB"/>
        </w:rPr>
      </w:pPr>
      <w:r w:rsidRPr="00915031">
        <w:rPr>
          <w:lang w:val="fr-FR" w:eastAsia="en-GB"/>
        </w:rPr>
        <w:t>iii</w:t>
      </w:r>
      <w:r w:rsidR="006E4ECE" w:rsidRPr="00915031">
        <w:rPr>
          <w:lang w:val="fr-FR" w:eastAsia="en-GB"/>
        </w:rPr>
        <w:t>.</w:t>
      </w:r>
      <w:proofErr w:type="gramStart"/>
      <w:r w:rsidRPr="00915031">
        <w:rPr>
          <w:lang w:val="fr-FR" w:eastAsia="en-GB"/>
        </w:rPr>
        <w:t>  </w:t>
      </w:r>
      <w:r w:rsidR="00B46622" w:rsidRPr="00915031">
        <w:rPr>
          <w:lang w:val="fr-FR" w:eastAsia="en-GB"/>
        </w:rPr>
        <w:t>5</w:t>
      </w:r>
      <w:proofErr w:type="gramEnd"/>
      <w:r w:rsidR="00B46622" w:rsidRPr="00915031">
        <w:rPr>
          <w:lang w:val="fr-FR" w:eastAsia="en-GB"/>
        </w:rPr>
        <w:t> 000 EUR (cinq mille euros)</w:t>
      </w:r>
      <w:r w:rsidRPr="00915031">
        <w:rPr>
          <w:lang w:val="fr-FR" w:eastAsia="en-GB"/>
        </w:rPr>
        <w:t xml:space="preserve">, plus tout montant </w:t>
      </w:r>
      <w:r w:rsidR="005E37C6" w:rsidRPr="00915031">
        <w:rPr>
          <w:lang w:val="fr-FR" w:eastAsia="en-GB"/>
        </w:rPr>
        <w:t xml:space="preserve">pouvant être dû par </w:t>
      </w:r>
      <w:r w:rsidR="00457B85" w:rsidRPr="00915031">
        <w:rPr>
          <w:lang w:val="fr-FR"/>
        </w:rPr>
        <w:t>les requérants</w:t>
      </w:r>
      <w:r w:rsidR="005E37C6" w:rsidRPr="00915031">
        <w:rPr>
          <w:lang w:val="fr-FR" w:eastAsia="en-GB"/>
        </w:rPr>
        <w:t xml:space="preserve"> à titre d</w:t>
      </w:r>
      <w:r w:rsidR="00915031" w:rsidRPr="00915031">
        <w:rPr>
          <w:lang w:val="fr-FR" w:eastAsia="en-GB"/>
        </w:rPr>
        <w:t>’</w:t>
      </w:r>
      <w:r w:rsidR="005E37C6" w:rsidRPr="00915031">
        <w:rPr>
          <w:lang w:val="fr-FR" w:eastAsia="en-GB"/>
        </w:rPr>
        <w:t>impôt, pour frais et dépens</w:t>
      </w:r>
      <w:r w:rsidRPr="00915031">
        <w:rPr>
          <w:lang w:val="fr-FR" w:eastAsia="en-GB"/>
        </w:rPr>
        <w:t> ;</w:t>
      </w:r>
    </w:p>
    <w:p w:rsidR="00E77CB3" w:rsidRPr="00915031" w:rsidRDefault="00E77CB3" w:rsidP="00915031">
      <w:pPr>
        <w:pStyle w:val="JuLista"/>
        <w:rPr>
          <w:lang w:val="fr-FR"/>
        </w:rPr>
      </w:pPr>
      <w:r w:rsidRPr="00915031">
        <w:rPr>
          <w:lang w:val="fr-FR"/>
        </w:rPr>
        <w:lastRenderedPageBreak/>
        <w:t>b)  qu</w:t>
      </w:r>
      <w:r w:rsidR="00915031" w:rsidRPr="00915031">
        <w:rPr>
          <w:lang w:val="fr-FR"/>
        </w:rPr>
        <w:t>’</w:t>
      </w:r>
      <w:r w:rsidRPr="00915031">
        <w:rPr>
          <w:lang w:val="fr-FR"/>
        </w:rPr>
        <w:t>à compter de l</w:t>
      </w:r>
      <w:r w:rsidR="00915031" w:rsidRPr="00915031">
        <w:rPr>
          <w:lang w:val="fr-FR"/>
        </w:rPr>
        <w:t>’</w:t>
      </w:r>
      <w:r w:rsidRPr="00915031">
        <w:rPr>
          <w:lang w:val="fr-FR"/>
        </w:rPr>
        <w:t>expiration dudit délai et jusqu</w:t>
      </w:r>
      <w:r w:rsidR="00915031" w:rsidRPr="00915031">
        <w:rPr>
          <w:lang w:val="fr-FR"/>
        </w:rPr>
        <w:t>’</w:t>
      </w:r>
      <w:r w:rsidRPr="00915031">
        <w:rPr>
          <w:lang w:val="fr-FR"/>
        </w:rPr>
        <w:t>au versement, ces montants seront à majorer d</w:t>
      </w:r>
      <w:r w:rsidR="00915031" w:rsidRPr="00915031">
        <w:rPr>
          <w:lang w:val="fr-FR"/>
        </w:rPr>
        <w:t>’</w:t>
      </w:r>
      <w:r w:rsidRPr="00915031">
        <w:rPr>
          <w:lang w:val="fr-FR"/>
        </w:rPr>
        <w:t>un intérêt simple à un taux égal à celui de la facilité de prêt marginal de la Banque centrale européenne applicable pendant cette période, augmenté de trois points de pourcentage ;</w:t>
      </w:r>
    </w:p>
    <w:p w:rsidR="00E77CB3" w:rsidRPr="00915031" w:rsidRDefault="00E77CB3" w:rsidP="00915031">
      <w:pPr>
        <w:pStyle w:val="JuLista"/>
        <w:rPr>
          <w:lang w:val="fr-FR"/>
        </w:rPr>
      </w:pPr>
    </w:p>
    <w:p w:rsidR="00E77CB3" w:rsidRPr="00915031" w:rsidRDefault="00274E2F" w:rsidP="00915031">
      <w:pPr>
        <w:pStyle w:val="JuList"/>
        <w:rPr>
          <w:lang w:val="fr-FR"/>
        </w:rPr>
      </w:pPr>
      <w:r w:rsidRPr="00915031">
        <w:rPr>
          <w:lang w:val="fr-FR"/>
        </w:rPr>
        <w:t>6</w:t>
      </w:r>
      <w:r w:rsidR="00E77CB3" w:rsidRPr="00915031">
        <w:rPr>
          <w:lang w:val="fr-FR"/>
        </w:rPr>
        <w:t>.  </w:t>
      </w:r>
      <w:r w:rsidR="00E77CB3" w:rsidRPr="00915031">
        <w:rPr>
          <w:i/>
          <w:lang w:val="fr-FR"/>
        </w:rPr>
        <w:t>Rejette</w:t>
      </w:r>
      <w:r w:rsidR="00457B85" w:rsidRPr="00915031">
        <w:rPr>
          <w:lang w:val="fr-FR"/>
        </w:rPr>
        <w:t xml:space="preserve"> </w:t>
      </w:r>
      <w:r w:rsidR="00E77CB3" w:rsidRPr="00915031">
        <w:rPr>
          <w:lang w:val="fr-FR"/>
        </w:rPr>
        <w:t>la demande de satisfaction équitable pour le surplus.</w:t>
      </w:r>
    </w:p>
    <w:p w:rsidR="00E77CB3" w:rsidRPr="00915031" w:rsidRDefault="00E77CB3" w:rsidP="00915031">
      <w:pPr>
        <w:pStyle w:val="JuParaLast"/>
        <w:rPr>
          <w:lang w:val="fr-FR"/>
        </w:rPr>
      </w:pPr>
      <w:r w:rsidRPr="00915031">
        <w:rPr>
          <w:lang w:val="fr-FR"/>
        </w:rPr>
        <w:t>Fait en français, puis communiqué par écrit le </w:t>
      </w:r>
      <w:r w:rsidR="001350A9" w:rsidRPr="00915031">
        <w:rPr>
          <w:lang w:val="fr-FR"/>
        </w:rPr>
        <w:t>9 février 2017</w:t>
      </w:r>
      <w:r w:rsidRPr="00915031">
        <w:rPr>
          <w:lang w:val="fr-FR"/>
        </w:rPr>
        <w:t>, en application de l</w:t>
      </w:r>
      <w:r w:rsidR="00915031" w:rsidRPr="00915031">
        <w:rPr>
          <w:lang w:val="fr-FR"/>
        </w:rPr>
        <w:t>’</w:t>
      </w:r>
      <w:r w:rsidRPr="00915031">
        <w:rPr>
          <w:lang w:val="fr-FR"/>
        </w:rPr>
        <w:t>article 77 §§ 2 et 3 du règlement</w:t>
      </w:r>
      <w:r w:rsidR="00AC0824" w:rsidRPr="00915031">
        <w:rPr>
          <w:lang w:val="fr-FR"/>
        </w:rPr>
        <w:t xml:space="preserve"> de la Cour</w:t>
      </w:r>
      <w:r w:rsidRPr="00915031">
        <w:rPr>
          <w:lang w:val="fr-FR"/>
        </w:rPr>
        <w:t>.</w:t>
      </w:r>
    </w:p>
    <w:p w:rsidR="00E77CB3" w:rsidRPr="00915031" w:rsidRDefault="00A27806" w:rsidP="00915031">
      <w:pPr>
        <w:pStyle w:val="JuSigned"/>
        <w:keepNext/>
        <w:keepLines/>
        <w:tabs>
          <w:tab w:val="clear" w:pos="6407"/>
          <w:tab w:val="center" w:pos="5529"/>
        </w:tabs>
        <w:ind w:right="-13"/>
        <w:rPr>
          <w:lang w:val="es-AR"/>
        </w:rPr>
      </w:pPr>
      <w:r w:rsidRPr="00915031">
        <w:rPr>
          <w:lang w:val="es-AR"/>
        </w:rPr>
        <w:t>Renata Degener</w:t>
      </w:r>
      <w:r w:rsidR="00E77CB3" w:rsidRPr="00915031">
        <w:rPr>
          <w:lang w:val="es-AR"/>
        </w:rPr>
        <w:tab/>
      </w:r>
      <w:r w:rsidR="00457B85" w:rsidRPr="00915031">
        <w:rPr>
          <w:szCs w:val="24"/>
          <w:lang w:val="es-AR"/>
        </w:rPr>
        <w:t>Mirjana Lazarova Trajkovska</w:t>
      </w:r>
      <w:r w:rsidR="00E77CB3" w:rsidRPr="00915031">
        <w:rPr>
          <w:lang w:val="es-AR"/>
        </w:rPr>
        <w:br/>
      </w:r>
      <w:r w:rsidR="00E77CB3" w:rsidRPr="00915031">
        <w:rPr>
          <w:lang w:val="es-AR"/>
        </w:rPr>
        <w:tab/>
      </w:r>
      <w:r w:rsidR="00452815" w:rsidRPr="00915031">
        <w:rPr>
          <w:lang w:val="fr-FR"/>
        </w:rPr>
        <w:t>Greffière adjointe</w:t>
      </w:r>
      <w:r w:rsidR="00E77CB3" w:rsidRPr="00915031">
        <w:rPr>
          <w:lang w:val="es-AR"/>
        </w:rPr>
        <w:tab/>
      </w:r>
      <w:r w:rsidR="00457B85" w:rsidRPr="00915031">
        <w:rPr>
          <w:lang w:val="es-AR"/>
        </w:rPr>
        <w:t>Présidente</w:t>
      </w:r>
    </w:p>
    <w:sectPr w:rsidR="00E77CB3" w:rsidRPr="00915031" w:rsidSect="00A42DD5">
      <w:headerReference w:type="even" r:id="rId14"/>
      <w:headerReference w:type="default" r:id="rId15"/>
      <w:footnotePr>
        <w:numRestart w:val="eachSect"/>
      </w:footnotePr>
      <w:pgSz w:w="11906" w:h="16838" w:code="9"/>
      <w:pgMar w:top="2274" w:right="2274" w:bottom="2274" w:left="2274" w:header="1701"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0288" w:rsidRPr="00BD0653" w:rsidRDefault="00FB0288" w:rsidP="00E77CB3">
      <w:pPr>
        <w:rPr>
          <w:lang w:val="fr-FR"/>
        </w:rPr>
      </w:pPr>
      <w:r w:rsidRPr="00BD0653">
        <w:rPr>
          <w:lang w:val="fr-FR"/>
        </w:rPr>
        <w:separator/>
      </w:r>
    </w:p>
  </w:endnote>
  <w:endnote w:type="continuationSeparator" w:id="0">
    <w:p w:rsidR="00FB0288" w:rsidRPr="00BD0653" w:rsidRDefault="00FB0288" w:rsidP="00E77CB3">
      <w:pPr>
        <w:rPr>
          <w:lang w:val="fr-FR"/>
        </w:rPr>
      </w:pPr>
      <w:r w:rsidRPr="00BD0653">
        <w:rPr>
          <w:lang w:val="fr-FR"/>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2DD5" w:rsidRPr="00150BFA" w:rsidRDefault="00A42DD5" w:rsidP="0020718E">
    <w:pPr>
      <w:jc w:val="center"/>
    </w:pPr>
    <w:r>
      <w:rPr>
        <w:noProof/>
        <w:lang w:val="it-IT" w:eastAsia="it-IT"/>
      </w:rPr>
      <w:drawing>
        <wp:inline distT="0" distB="0" distL="0" distR="0" wp14:anchorId="09721A92" wp14:editId="79720B75">
          <wp:extent cx="771525" cy="619125"/>
          <wp:effectExtent l="0" t="0" r="9525" b="9525"/>
          <wp:docPr id="19" name="Picture 19"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rsidR="00A42DD5" w:rsidRDefault="00A42DD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0288" w:rsidRPr="00BD0653" w:rsidRDefault="00FB0288" w:rsidP="00E77CB3">
      <w:pPr>
        <w:rPr>
          <w:lang w:val="fr-FR"/>
        </w:rPr>
      </w:pPr>
      <w:r w:rsidRPr="00BD0653">
        <w:rPr>
          <w:lang w:val="fr-FR"/>
        </w:rPr>
        <w:separator/>
      </w:r>
    </w:p>
  </w:footnote>
  <w:footnote w:type="continuationSeparator" w:id="0">
    <w:p w:rsidR="00FB0288" w:rsidRPr="00BD0653" w:rsidRDefault="00FB0288" w:rsidP="00E77CB3">
      <w:pPr>
        <w:rPr>
          <w:lang w:val="fr-FR"/>
        </w:rPr>
      </w:pPr>
      <w:r w:rsidRPr="00BD0653">
        <w:rPr>
          <w:lang w:val="fr-FR"/>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4EBF" w:rsidRPr="00A42DD5" w:rsidRDefault="00AC4EBF" w:rsidP="00A42DD5">
    <w:pPr>
      <w:pStyle w:val="Intestazione"/>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2DD5" w:rsidRPr="00A45145" w:rsidRDefault="00A42DD5" w:rsidP="00A45145">
    <w:pPr>
      <w:jc w:val="center"/>
    </w:pPr>
    <w:r>
      <w:rPr>
        <w:noProof/>
        <w:lang w:val="it-IT" w:eastAsia="it-IT"/>
      </w:rPr>
      <w:drawing>
        <wp:inline distT="0" distB="0" distL="0" distR="0" wp14:anchorId="2D0243BB" wp14:editId="4AED375F">
          <wp:extent cx="2962275" cy="1219200"/>
          <wp:effectExtent l="0" t="0" r="9525" b="0"/>
          <wp:docPr id="18" name="Picture 18"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9038D5" w:rsidRDefault="009038D5">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2DD5" w:rsidRPr="00762CD5" w:rsidRDefault="00A42DD5" w:rsidP="00C611D8">
    <w:pPr>
      <w:pStyle w:val="ECHRHeader"/>
    </w:pPr>
    <w:r>
      <w:rPr>
        <w:rStyle w:val="Numeropagina"/>
      </w:rPr>
      <w:fldChar w:fldCharType="begin"/>
    </w:r>
    <w:r>
      <w:rPr>
        <w:rStyle w:val="Numeropagina"/>
      </w:rPr>
      <w:instrText xml:space="preserve"> PAGE </w:instrText>
    </w:r>
    <w:r>
      <w:rPr>
        <w:rStyle w:val="Numeropagina"/>
      </w:rPr>
      <w:fldChar w:fldCharType="separate"/>
    </w:r>
    <w:r w:rsidR="003E143C">
      <w:rPr>
        <w:rStyle w:val="Numeropagina"/>
        <w:noProof/>
      </w:rPr>
      <w:t>10</w:t>
    </w:r>
    <w:r>
      <w:rPr>
        <w:rStyle w:val="Numeropagina"/>
      </w:rPr>
      <w:fldChar w:fldCharType="end"/>
    </w:r>
    <w:r w:rsidRPr="00762CD5">
      <w:rPr>
        <w:rStyle w:val="Numeropagina"/>
      </w:rPr>
      <w:tab/>
    </w:r>
    <w:r>
      <w:rPr>
        <w:noProof/>
      </w:rPr>
      <w:t>ARRÊT</w:t>
    </w:r>
    <w:r w:rsidRPr="00762CD5">
      <w:t xml:space="preserve"> </w:t>
    </w:r>
    <w:r>
      <w:t>MESSANA c. ITALIE</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2DD5" w:rsidRPr="00BD0653" w:rsidRDefault="00A42DD5" w:rsidP="00C63990">
    <w:pPr>
      <w:pStyle w:val="ECHRHeader"/>
      <w:rPr>
        <w:lang w:val="fr-FR"/>
      </w:rPr>
    </w:pPr>
    <w:r w:rsidRPr="00BD0653">
      <w:rPr>
        <w:lang w:val="fr-FR"/>
      </w:rPr>
      <w:tab/>
    </w:r>
    <w:r>
      <w:rPr>
        <w:noProof/>
      </w:rPr>
      <w:t>ARRÊT</w:t>
    </w:r>
    <w:r w:rsidRPr="00762CD5">
      <w:t xml:space="preserve"> </w:t>
    </w:r>
    <w:r>
      <w:t>MESSANA c. ITALIE</w:t>
    </w:r>
    <w:r w:rsidRPr="00762CD5">
      <w:tab/>
    </w:r>
    <w:r>
      <w:rPr>
        <w:rStyle w:val="Numeropagina"/>
        <w:lang w:val="fr-FR"/>
      </w:rPr>
      <w:fldChar w:fldCharType="begin"/>
    </w:r>
    <w:r>
      <w:rPr>
        <w:rStyle w:val="Numeropagina"/>
        <w:lang w:val="fr-FR"/>
      </w:rPr>
      <w:instrText xml:space="preserve"> PAGE </w:instrText>
    </w:r>
    <w:r>
      <w:rPr>
        <w:rStyle w:val="Numeropagina"/>
        <w:lang w:val="fr-FR"/>
      </w:rPr>
      <w:fldChar w:fldCharType="separate"/>
    </w:r>
    <w:r w:rsidR="003E143C">
      <w:rPr>
        <w:rStyle w:val="Numeropagina"/>
        <w:noProof/>
        <w:lang w:val="fr-FR"/>
      </w:rPr>
      <w:t>11</w:t>
    </w:r>
    <w:r>
      <w:rPr>
        <w:rStyle w:val="Numeropagina"/>
        <w:lang w:val="fr-F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40AA2222"/>
    <w:lvl w:ilvl="0">
      <w:start w:val="1"/>
      <w:numFmt w:val="decimal"/>
      <w:pStyle w:val="Numeroelenco5"/>
      <w:lvlText w:val="%1."/>
      <w:lvlJc w:val="left"/>
      <w:pPr>
        <w:tabs>
          <w:tab w:val="num" w:pos="1492"/>
        </w:tabs>
        <w:ind w:left="1492" w:hanging="360"/>
      </w:pPr>
    </w:lvl>
  </w:abstractNum>
  <w:abstractNum w:abstractNumId="1">
    <w:nsid w:val="FFFFFF7D"/>
    <w:multiLevelType w:val="singleLevel"/>
    <w:tmpl w:val="AC189B28"/>
    <w:lvl w:ilvl="0">
      <w:start w:val="1"/>
      <w:numFmt w:val="decimal"/>
      <w:pStyle w:val="Numeroelenco4"/>
      <w:lvlText w:val="%1."/>
      <w:lvlJc w:val="left"/>
      <w:pPr>
        <w:tabs>
          <w:tab w:val="num" w:pos="1209"/>
        </w:tabs>
        <w:ind w:left="1209" w:hanging="360"/>
      </w:pPr>
    </w:lvl>
  </w:abstractNum>
  <w:abstractNum w:abstractNumId="2">
    <w:nsid w:val="FFFFFF7E"/>
    <w:multiLevelType w:val="singleLevel"/>
    <w:tmpl w:val="90C4301E"/>
    <w:lvl w:ilvl="0">
      <w:start w:val="1"/>
      <w:numFmt w:val="decimal"/>
      <w:pStyle w:val="Numeroelenco3"/>
      <w:lvlText w:val="%1."/>
      <w:lvlJc w:val="left"/>
      <w:pPr>
        <w:tabs>
          <w:tab w:val="num" w:pos="926"/>
        </w:tabs>
        <w:ind w:left="926" w:hanging="360"/>
      </w:pPr>
    </w:lvl>
  </w:abstractNum>
  <w:abstractNum w:abstractNumId="3">
    <w:nsid w:val="FFFFFF7F"/>
    <w:multiLevelType w:val="singleLevel"/>
    <w:tmpl w:val="C7268F26"/>
    <w:lvl w:ilvl="0">
      <w:start w:val="1"/>
      <w:numFmt w:val="decimal"/>
      <w:pStyle w:val="Numeroelenco2"/>
      <w:lvlText w:val="%1."/>
      <w:lvlJc w:val="left"/>
      <w:pPr>
        <w:tabs>
          <w:tab w:val="num" w:pos="643"/>
        </w:tabs>
        <w:ind w:left="643" w:hanging="360"/>
      </w:pPr>
    </w:lvl>
  </w:abstractNum>
  <w:abstractNum w:abstractNumId="4">
    <w:nsid w:val="FFFFFF80"/>
    <w:multiLevelType w:val="singleLevel"/>
    <w:tmpl w:val="CFA0A718"/>
    <w:lvl w:ilvl="0">
      <w:start w:val="1"/>
      <w:numFmt w:val="bullet"/>
      <w:pStyle w:val="Puntoelenco5"/>
      <w:lvlText w:val=""/>
      <w:lvlJc w:val="left"/>
      <w:pPr>
        <w:tabs>
          <w:tab w:val="num" w:pos="1492"/>
        </w:tabs>
        <w:ind w:left="1492" w:hanging="360"/>
      </w:pPr>
      <w:rPr>
        <w:rFonts w:ascii="Symbol" w:hAnsi="Symbol" w:hint="default"/>
      </w:rPr>
    </w:lvl>
  </w:abstractNum>
  <w:abstractNum w:abstractNumId="5">
    <w:nsid w:val="FFFFFF81"/>
    <w:multiLevelType w:val="singleLevel"/>
    <w:tmpl w:val="FB382924"/>
    <w:lvl w:ilvl="0">
      <w:start w:val="1"/>
      <w:numFmt w:val="bullet"/>
      <w:pStyle w:val="Puntoelenco4"/>
      <w:lvlText w:val=""/>
      <w:lvlJc w:val="left"/>
      <w:pPr>
        <w:tabs>
          <w:tab w:val="num" w:pos="1209"/>
        </w:tabs>
        <w:ind w:left="1209" w:hanging="360"/>
      </w:pPr>
      <w:rPr>
        <w:rFonts w:ascii="Symbol" w:hAnsi="Symbol" w:hint="default"/>
      </w:rPr>
    </w:lvl>
  </w:abstractNum>
  <w:abstractNum w:abstractNumId="6">
    <w:nsid w:val="FFFFFF82"/>
    <w:multiLevelType w:val="singleLevel"/>
    <w:tmpl w:val="268AD308"/>
    <w:lvl w:ilvl="0">
      <w:start w:val="1"/>
      <w:numFmt w:val="bullet"/>
      <w:pStyle w:val="Puntoelenco3"/>
      <w:lvlText w:val=""/>
      <w:lvlJc w:val="left"/>
      <w:pPr>
        <w:tabs>
          <w:tab w:val="num" w:pos="926"/>
        </w:tabs>
        <w:ind w:left="926" w:hanging="360"/>
      </w:pPr>
      <w:rPr>
        <w:rFonts w:ascii="Symbol" w:hAnsi="Symbol" w:hint="default"/>
      </w:rPr>
    </w:lvl>
  </w:abstractNum>
  <w:abstractNum w:abstractNumId="7">
    <w:nsid w:val="FFFFFF83"/>
    <w:multiLevelType w:val="singleLevel"/>
    <w:tmpl w:val="20501D42"/>
    <w:lvl w:ilvl="0">
      <w:start w:val="1"/>
      <w:numFmt w:val="bullet"/>
      <w:pStyle w:val="Puntoelenco2"/>
      <w:lvlText w:val=""/>
      <w:lvlJc w:val="left"/>
      <w:pPr>
        <w:tabs>
          <w:tab w:val="num" w:pos="643"/>
        </w:tabs>
        <w:ind w:left="643" w:hanging="360"/>
      </w:pPr>
      <w:rPr>
        <w:rFonts w:ascii="Symbol" w:hAnsi="Symbol" w:hint="default"/>
      </w:rPr>
    </w:lvl>
  </w:abstractNum>
  <w:abstractNum w:abstractNumId="8">
    <w:nsid w:val="FFFFFF88"/>
    <w:multiLevelType w:val="singleLevel"/>
    <w:tmpl w:val="CDE43E0C"/>
    <w:lvl w:ilvl="0">
      <w:start w:val="1"/>
      <w:numFmt w:val="decimal"/>
      <w:pStyle w:val="Numeroelenco"/>
      <w:lvlText w:val="%1."/>
      <w:lvlJc w:val="left"/>
      <w:pPr>
        <w:tabs>
          <w:tab w:val="num" w:pos="360"/>
        </w:tabs>
        <w:ind w:left="360" w:hanging="360"/>
      </w:pPr>
    </w:lvl>
  </w:abstractNum>
  <w:abstractNum w:abstractNumId="9">
    <w:nsid w:val="FFFFFF89"/>
    <w:multiLevelType w:val="singleLevel"/>
    <w:tmpl w:val="03AEA0B8"/>
    <w:lvl w:ilvl="0">
      <w:start w:val="1"/>
      <w:numFmt w:val="bullet"/>
      <w:pStyle w:val="Puntoelenco"/>
      <w:lvlText w:val=""/>
      <w:lvlJc w:val="left"/>
      <w:pPr>
        <w:tabs>
          <w:tab w:val="num" w:pos="360"/>
        </w:tabs>
        <w:ind w:left="360" w:hanging="360"/>
      </w:pPr>
      <w:rPr>
        <w:rFonts w:ascii="Symbol" w:hAnsi="Symbol" w:hint="default"/>
      </w:rPr>
    </w:lvl>
  </w:abstractNum>
  <w:abstractNum w:abstractNumId="10">
    <w:nsid w:val="04E8750E"/>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09146D13"/>
    <w:multiLevelType w:val="hybridMultilevel"/>
    <w:tmpl w:val="A58459D2"/>
    <w:lvl w:ilvl="0" w:tplc="DF74FE3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7063F06"/>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65D7306C"/>
    <w:multiLevelType w:val="multilevel"/>
    <w:tmpl w:val="040C0023"/>
    <w:styleLink w:val="ArticoloSezione"/>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76903243"/>
    <w:multiLevelType w:val="multilevel"/>
    <w:tmpl w:val="E884A926"/>
    <w:lvl w:ilvl="0">
      <w:start w:val="1"/>
      <w:numFmt w:val="decimal"/>
      <w:pStyle w:val="JuAppQuestion"/>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9"/>
  </w:num>
  <w:num w:numId="2">
    <w:abstractNumId w:val="12"/>
  </w:num>
  <w:num w:numId="3">
    <w:abstractNumId w:val="10"/>
  </w:num>
  <w:num w:numId="4">
    <w:abstractNumId w:val="13"/>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11"/>
  </w:num>
  <w:num w:numId="16">
    <w:abstractNumId w:val="14"/>
  </w:num>
  <w:num w:numId="17">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removePersonalInformation/>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NatAutre" w:val="0"/>
    <w:docVar w:name="DocVarPREMATURE" w:val="0"/>
    <w:docVar w:name="EMM" w:val="0"/>
    <w:docVar w:name="ETRANSMISSION" w:val="PAR VOIE ÉLECTRONIQUE UNIQUEMENT"/>
    <w:docVar w:name="L4_1Annex" w:val="0"/>
    <w:docVar w:name="L4_1Anonymity" w:val="0"/>
    <w:docVar w:name="NBEMMDOC" w:val="0"/>
    <w:docVar w:name="SignForeName" w:val="0"/>
  </w:docVars>
  <w:rsids>
    <w:rsidRoot w:val="00457B85"/>
    <w:rsid w:val="000001E2"/>
    <w:rsid w:val="00001FF9"/>
    <w:rsid w:val="000041F8"/>
    <w:rsid w:val="000042A8"/>
    <w:rsid w:val="00004308"/>
    <w:rsid w:val="00005BF0"/>
    <w:rsid w:val="00007154"/>
    <w:rsid w:val="000103AE"/>
    <w:rsid w:val="00011D69"/>
    <w:rsid w:val="00012AD3"/>
    <w:rsid w:val="00015C2D"/>
    <w:rsid w:val="00015D9C"/>
    <w:rsid w:val="00015F00"/>
    <w:rsid w:val="00022C1D"/>
    <w:rsid w:val="00031417"/>
    <w:rsid w:val="00034974"/>
    <w:rsid w:val="00034987"/>
    <w:rsid w:val="00034991"/>
    <w:rsid w:val="00045502"/>
    <w:rsid w:val="00045690"/>
    <w:rsid w:val="000602DF"/>
    <w:rsid w:val="00061B05"/>
    <w:rsid w:val="000632D5"/>
    <w:rsid w:val="0006438C"/>
    <w:rsid w:val="000644EE"/>
    <w:rsid w:val="00066A71"/>
    <w:rsid w:val="00067903"/>
    <w:rsid w:val="00073654"/>
    <w:rsid w:val="00074F27"/>
    <w:rsid w:val="00077227"/>
    <w:rsid w:val="00080074"/>
    <w:rsid w:val="00082159"/>
    <w:rsid w:val="000851FE"/>
    <w:rsid w:val="00086A49"/>
    <w:rsid w:val="000918B6"/>
    <w:rsid w:val="000925AD"/>
    <w:rsid w:val="000A19C6"/>
    <w:rsid w:val="000A24EB"/>
    <w:rsid w:val="000B6175"/>
    <w:rsid w:val="000B6923"/>
    <w:rsid w:val="000B6FE2"/>
    <w:rsid w:val="000B7071"/>
    <w:rsid w:val="000C02D1"/>
    <w:rsid w:val="000C5F3C"/>
    <w:rsid w:val="000C6DCC"/>
    <w:rsid w:val="000D47AA"/>
    <w:rsid w:val="000D721F"/>
    <w:rsid w:val="000E069B"/>
    <w:rsid w:val="000E0E82"/>
    <w:rsid w:val="000E1DC5"/>
    <w:rsid w:val="000E223F"/>
    <w:rsid w:val="000E6263"/>
    <w:rsid w:val="000E7147"/>
    <w:rsid w:val="000E7D45"/>
    <w:rsid w:val="000F00EF"/>
    <w:rsid w:val="000F11CE"/>
    <w:rsid w:val="000F43AA"/>
    <w:rsid w:val="000F7851"/>
    <w:rsid w:val="00104E23"/>
    <w:rsid w:val="00111B0C"/>
    <w:rsid w:val="00112FED"/>
    <w:rsid w:val="00113BF5"/>
    <w:rsid w:val="00117E52"/>
    <w:rsid w:val="00120D6C"/>
    <w:rsid w:val="0012260F"/>
    <w:rsid w:val="001257EC"/>
    <w:rsid w:val="0012721D"/>
    <w:rsid w:val="0013168C"/>
    <w:rsid w:val="00133789"/>
    <w:rsid w:val="00133D33"/>
    <w:rsid w:val="00134D64"/>
    <w:rsid w:val="001350A9"/>
    <w:rsid w:val="00135A30"/>
    <w:rsid w:val="0013612C"/>
    <w:rsid w:val="00136C67"/>
    <w:rsid w:val="00137FF6"/>
    <w:rsid w:val="00141650"/>
    <w:rsid w:val="00144133"/>
    <w:rsid w:val="001516A3"/>
    <w:rsid w:val="00155909"/>
    <w:rsid w:val="0016174F"/>
    <w:rsid w:val="0016198C"/>
    <w:rsid w:val="001619D7"/>
    <w:rsid w:val="00161B7E"/>
    <w:rsid w:val="00162A12"/>
    <w:rsid w:val="00166530"/>
    <w:rsid w:val="00176738"/>
    <w:rsid w:val="001832BD"/>
    <w:rsid w:val="001943B5"/>
    <w:rsid w:val="00195134"/>
    <w:rsid w:val="001970E6"/>
    <w:rsid w:val="001A145B"/>
    <w:rsid w:val="001A674C"/>
    <w:rsid w:val="001B34C8"/>
    <w:rsid w:val="001B3B24"/>
    <w:rsid w:val="001B7C3D"/>
    <w:rsid w:val="001C0F98"/>
    <w:rsid w:val="001C2A42"/>
    <w:rsid w:val="001C41FA"/>
    <w:rsid w:val="001D192A"/>
    <w:rsid w:val="001D63ED"/>
    <w:rsid w:val="001D7348"/>
    <w:rsid w:val="001E035B"/>
    <w:rsid w:val="001E0961"/>
    <w:rsid w:val="001E3EAE"/>
    <w:rsid w:val="001E4822"/>
    <w:rsid w:val="001E6F32"/>
    <w:rsid w:val="001F1DFD"/>
    <w:rsid w:val="001F2145"/>
    <w:rsid w:val="001F4E43"/>
    <w:rsid w:val="001F508D"/>
    <w:rsid w:val="001F6262"/>
    <w:rsid w:val="001F67B0"/>
    <w:rsid w:val="001F70FE"/>
    <w:rsid w:val="001F7B3D"/>
    <w:rsid w:val="00201D75"/>
    <w:rsid w:val="0020270E"/>
    <w:rsid w:val="00205F9F"/>
    <w:rsid w:val="00210338"/>
    <w:rsid w:val="002115FC"/>
    <w:rsid w:val="00211F81"/>
    <w:rsid w:val="0021423C"/>
    <w:rsid w:val="002237CF"/>
    <w:rsid w:val="00230D00"/>
    <w:rsid w:val="00231DF7"/>
    <w:rsid w:val="00231FD1"/>
    <w:rsid w:val="002339E0"/>
    <w:rsid w:val="00233CF8"/>
    <w:rsid w:val="0023575D"/>
    <w:rsid w:val="00236131"/>
    <w:rsid w:val="00237148"/>
    <w:rsid w:val="002372CD"/>
    <w:rsid w:val="0024222D"/>
    <w:rsid w:val="0024354F"/>
    <w:rsid w:val="00243AD8"/>
    <w:rsid w:val="00244B0E"/>
    <w:rsid w:val="00244F6C"/>
    <w:rsid w:val="0025169F"/>
    <w:rsid w:val="002532C5"/>
    <w:rsid w:val="00253FB7"/>
    <w:rsid w:val="00260C03"/>
    <w:rsid w:val="0026540E"/>
    <w:rsid w:val="00266DC3"/>
    <w:rsid w:val="0027309B"/>
    <w:rsid w:val="00274E2F"/>
    <w:rsid w:val="00275123"/>
    <w:rsid w:val="00277614"/>
    <w:rsid w:val="0028016D"/>
    <w:rsid w:val="002809F3"/>
    <w:rsid w:val="00282240"/>
    <w:rsid w:val="00291379"/>
    <w:rsid w:val="002948AD"/>
    <w:rsid w:val="00296624"/>
    <w:rsid w:val="00296A73"/>
    <w:rsid w:val="002A01CC"/>
    <w:rsid w:val="002A590B"/>
    <w:rsid w:val="002A61B1"/>
    <w:rsid w:val="002A663C"/>
    <w:rsid w:val="002A7BEF"/>
    <w:rsid w:val="002B3392"/>
    <w:rsid w:val="002B3E4B"/>
    <w:rsid w:val="002B4207"/>
    <w:rsid w:val="002B444B"/>
    <w:rsid w:val="002B5887"/>
    <w:rsid w:val="002C0E27"/>
    <w:rsid w:val="002C3040"/>
    <w:rsid w:val="002C709F"/>
    <w:rsid w:val="002C7152"/>
    <w:rsid w:val="002D022D"/>
    <w:rsid w:val="002D23B6"/>
    <w:rsid w:val="002D24BB"/>
    <w:rsid w:val="002D3695"/>
    <w:rsid w:val="002D6329"/>
    <w:rsid w:val="002E02CB"/>
    <w:rsid w:val="002F06AF"/>
    <w:rsid w:val="002F2AF7"/>
    <w:rsid w:val="002F3B52"/>
    <w:rsid w:val="002F4A33"/>
    <w:rsid w:val="002F7E1C"/>
    <w:rsid w:val="00301A75"/>
    <w:rsid w:val="00302C34"/>
    <w:rsid w:val="00302F70"/>
    <w:rsid w:val="0030336F"/>
    <w:rsid w:val="0030375E"/>
    <w:rsid w:val="003071DD"/>
    <w:rsid w:val="00310D88"/>
    <w:rsid w:val="00312A30"/>
    <w:rsid w:val="003145AB"/>
    <w:rsid w:val="0031750E"/>
    <w:rsid w:val="00320F72"/>
    <w:rsid w:val="0032463E"/>
    <w:rsid w:val="003254EB"/>
    <w:rsid w:val="00326224"/>
    <w:rsid w:val="00332276"/>
    <w:rsid w:val="00334FEB"/>
    <w:rsid w:val="00336635"/>
    <w:rsid w:val="00337019"/>
    <w:rsid w:val="00337EE4"/>
    <w:rsid w:val="00340FFD"/>
    <w:rsid w:val="00344B6F"/>
    <w:rsid w:val="00347828"/>
    <w:rsid w:val="003506B1"/>
    <w:rsid w:val="00354F8C"/>
    <w:rsid w:val="0035592C"/>
    <w:rsid w:val="00356AC7"/>
    <w:rsid w:val="00360302"/>
    <w:rsid w:val="003609FA"/>
    <w:rsid w:val="00361CE4"/>
    <w:rsid w:val="003710C8"/>
    <w:rsid w:val="003750BE"/>
    <w:rsid w:val="00383ED6"/>
    <w:rsid w:val="00386426"/>
    <w:rsid w:val="003873A5"/>
    <w:rsid w:val="00387B9D"/>
    <w:rsid w:val="0039364F"/>
    <w:rsid w:val="00396686"/>
    <w:rsid w:val="0039778E"/>
    <w:rsid w:val="003A7423"/>
    <w:rsid w:val="003B103F"/>
    <w:rsid w:val="003B2814"/>
    <w:rsid w:val="003B4941"/>
    <w:rsid w:val="003C3DFD"/>
    <w:rsid w:val="003C5714"/>
    <w:rsid w:val="003C6344"/>
    <w:rsid w:val="003C6B9F"/>
    <w:rsid w:val="003C6E2A"/>
    <w:rsid w:val="003D0299"/>
    <w:rsid w:val="003D0349"/>
    <w:rsid w:val="003D1DD1"/>
    <w:rsid w:val="003D1DD7"/>
    <w:rsid w:val="003E143C"/>
    <w:rsid w:val="003E502B"/>
    <w:rsid w:val="003E6D80"/>
    <w:rsid w:val="003F05FA"/>
    <w:rsid w:val="003F244A"/>
    <w:rsid w:val="003F30B8"/>
    <w:rsid w:val="003F4C45"/>
    <w:rsid w:val="003F5F7B"/>
    <w:rsid w:val="003F7D64"/>
    <w:rsid w:val="00413280"/>
    <w:rsid w:val="00414300"/>
    <w:rsid w:val="004147EA"/>
    <w:rsid w:val="00423623"/>
    <w:rsid w:val="00425C67"/>
    <w:rsid w:val="00427E7A"/>
    <w:rsid w:val="00430DA7"/>
    <w:rsid w:val="004336F8"/>
    <w:rsid w:val="00434EC4"/>
    <w:rsid w:val="00436C49"/>
    <w:rsid w:val="00445366"/>
    <w:rsid w:val="00447F5B"/>
    <w:rsid w:val="0045067D"/>
    <w:rsid w:val="004516C6"/>
    <w:rsid w:val="00452815"/>
    <w:rsid w:val="0045464E"/>
    <w:rsid w:val="00454B37"/>
    <w:rsid w:val="00455770"/>
    <w:rsid w:val="00457746"/>
    <w:rsid w:val="00457B85"/>
    <w:rsid w:val="00461DB0"/>
    <w:rsid w:val="00463926"/>
    <w:rsid w:val="00464C9A"/>
    <w:rsid w:val="00466E3D"/>
    <w:rsid w:val="00470274"/>
    <w:rsid w:val="004741F5"/>
    <w:rsid w:val="00474F3D"/>
    <w:rsid w:val="00477E3A"/>
    <w:rsid w:val="00481126"/>
    <w:rsid w:val="00483E5F"/>
    <w:rsid w:val="00485FF9"/>
    <w:rsid w:val="004907F0"/>
    <w:rsid w:val="0049140B"/>
    <w:rsid w:val="004923A5"/>
    <w:rsid w:val="00492601"/>
    <w:rsid w:val="00494063"/>
    <w:rsid w:val="00496BFB"/>
    <w:rsid w:val="004A15C7"/>
    <w:rsid w:val="004A2F2C"/>
    <w:rsid w:val="004A6103"/>
    <w:rsid w:val="004A6FF3"/>
    <w:rsid w:val="004B013B"/>
    <w:rsid w:val="004B112B"/>
    <w:rsid w:val="004B2466"/>
    <w:rsid w:val="004C01E4"/>
    <w:rsid w:val="004C086C"/>
    <w:rsid w:val="004C1F56"/>
    <w:rsid w:val="004C27BC"/>
    <w:rsid w:val="004D15F3"/>
    <w:rsid w:val="004D5311"/>
    <w:rsid w:val="004D5DCC"/>
    <w:rsid w:val="004E69F6"/>
    <w:rsid w:val="004F10AF"/>
    <w:rsid w:val="004F11A4"/>
    <w:rsid w:val="004F2389"/>
    <w:rsid w:val="004F2979"/>
    <w:rsid w:val="004F304D"/>
    <w:rsid w:val="004F61BE"/>
    <w:rsid w:val="004F66B1"/>
    <w:rsid w:val="005033B1"/>
    <w:rsid w:val="00505158"/>
    <w:rsid w:val="00511C07"/>
    <w:rsid w:val="005173A6"/>
    <w:rsid w:val="00517FC5"/>
    <w:rsid w:val="00520BAA"/>
    <w:rsid w:val="00525208"/>
    <w:rsid w:val="005257A5"/>
    <w:rsid w:val="005264C0"/>
    <w:rsid w:val="00526A8A"/>
    <w:rsid w:val="00531DF2"/>
    <w:rsid w:val="0053503F"/>
    <w:rsid w:val="005442EE"/>
    <w:rsid w:val="00547353"/>
    <w:rsid w:val="0054735B"/>
    <w:rsid w:val="005474E7"/>
    <w:rsid w:val="00547E81"/>
    <w:rsid w:val="0055059F"/>
    <w:rsid w:val="005512A3"/>
    <w:rsid w:val="005537A0"/>
    <w:rsid w:val="005578CE"/>
    <w:rsid w:val="00562781"/>
    <w:rsid w:val="00562C44"/>
    <w:rsid w:val="00565654"/>
    <w:rsid w:val="00570718"/>
    <w:rsid w:val="00570AB1"/>
    <w:rsid w:val="0057271C"/>
    <w:rsid w:val="00572845"/>
    <w:rsid w:val="00574850"/>
    <w:rsid w:val="00574C83"/>
    <w:rsid w:val="00592772"/>
    <w:rsid w:val="005943D8"/>
    <w:rsid w:val="0059574A"/>
    <w:rsid w:val="00596468"/>
    <w:rsid w:val="005A02CB"/>
    <w:rsid w:val="005A03A2"/>
    <w:rsid w:val="005A1B9B"/>
    <w:rsid w:val="005A6751"/>
    <w:rsid w:val="005B092E"/>
    <w:rsid w:val="005B152C"/>
    <w:rsid w:val="005B1EE0"/>
    <w:rsid w:val="005B2B24"/>
    <w:rsid w:val="005B356A"/>
    <w:rsid w:val="005B3896"/>
    <w:rsid w:val="005B3FD6"/>
    <w:rsid w:val="005B4425"/>
    <w:rsid w:val="005B46A1"/>
    <w:rsid w:val="005B4B94"/>
    <w:rsid w:val="005C0B3B"/>
    <w:rsid w:val="005C120C"/>
    <w:rsid w:val="005C218A"/>
    <w:rsid w:val="005C3EE8"/>
    <w:rsid w:val="005D05AE"/>
    <w:rsid w:val="005D34F9"/>
    <w:rsid w:val="005D375A"/>
    <w:rsid w:val="005D4190"/>
    <w:rsid w:val="005D5681"/>
    <w:rsid w:val="005D67A3"/>
    <w:rsid w:val="005E2988"/>
    <w:rsid w:val="005E3085"/>
    <w:rsid w:val="005E37C6"/>
    <w:rsid w:val="005F0EEE"/>
    <w:rsid w:val="005F287B"/>
    <w:rsid w:val="005F31B3"/>
    <w:rsid w:val="005F51E1"/>
    <w:rsid w:val="005F59E7"/>
    <w:rsid w:val="005F7C86"/>
    <w:rsid w:val="0060106C"/>
    <w:rsid w:val="00611C80"/>
    <w:rsid w:val="00613BB6"/>
    <w:rsid w:val="00620692"/>
    <w:rsid w:val="00622197"/>
    <w:rsid w:val="006242CA"/>
    <w:rsid w:val="00625AA4"/>
    <w:rsid w:val="00627507"/>
    <w:rsid w:val="00633717"/>
    <w:rsid w:val="006344E1"/>
    <w:rsid w:val="00634E3C"/>
    <w:rsid w:val="00644625"/>
    <w:rsid w:val="0065234D"/>
    <w:rsid w:val="0065298D"/>
    <w:rsid w:val="00652D24"/>
    <w:rsid w:val="006545C4"/>
    <w:rsid w:val="00661971"/>
    <w:rsid w:val="00661CE8"/>
    <w:rsid w:val="006623D9"/>
    <w:rsid w:val="0066550C"/>
    <w:rsid w:val="00666093"/>
    <w:rsid w:val="00667B26"/>
    <w:rsid w:val="006716F2"/>
    <w:rsid w:val="00682BF2"/>
    <w:rsid w:val="006859CE"/>
    <w:rsid w:val="00691270"/>
    <w:rsid w:val="006933F3"/>
    <w:rsid w:val="0069340B"/>
    <w:rsid w:val="00694A2E"/>
    <w:rsid w:val="00694BA8"/>
    <w:rsid w:val="006A00DB"/>
    <w:rsid w:val="006A037C"/>
    <w:rsid w:val="006A2B19"/>
    <w:rsid w:val="006A36F4"/>
    <w:rsid w:val="006A406F"/>
    <w:rsid w:val="006A5D3A"/>
    <w:rsid w:val="006A76DB"/>
    <w:rsid w:val="006C1BCB"/>
    <w:rsid w:val="006C23D4"/>
    <w:rsid w:val="006C64BE"/>
    <w:rsid w:val="006C7BB0"/>
    <w:rsid w:val="006D3237"/>
    <w:rsid w:val="006D32B6"/>
    <w:rsid w:val="006D5317"/>
    <w:rsid w:val="006E2E37"/>
    <w:rsid w:val="006E3CF1"/>
    <w:rsid w:val="006E4ECE"/>
    <w:rsid w:val="006E6949"/>
    <w:rsid w:val="006E7E80"/>
    <w:rsid w:val="006F48CA"/>
    <w:rsid w:val="006F64DD"/>
    <w:rsid w:val="007058F4"/>
    <w:rsid w:val="00706071"/>
    <w:rsid w:val="00711B9F"/>
    <w:rsid w:val="00715127"/>
    <w:rsid w:val="00715E8E"/>
    <w:rsid w:val="007170AA"/>
    <w:rsid w:val="007208C3"/>
    <w:rsid w:val="00720D5F"/>
    <w:rsid w:val="007220AB"/>
    <w:rsid w:val="00723580"/>
    <w:rsid w:val="00723738"/>
    <w:rsid w:val="00723755"/>
    <w:rsid w:val="00726DED"/>
    <w:rsid w:val="0073006F"/>
    <w:rsid w:val="0073136C"/>
    <w:rsid w:val="00731F0F"/>
    <w:rsid w:val="00732BC7"/>
    <w:rsid w:val="00733250"/>
    <w:rsid w:val="00733A61"/>
    <w:rsid w:val="00735690"/>
    <w:rsid w:val="00741404"/>
    <w:rsid w:val="00743248"/>
    <w:rsid w:val="00744548"/>
    <w:rsid w:val="007449E5"/>
    <w:rsid w:val="00744F45"/>
    <w:rsid w:val="007464E0"/>
    <w:rsid w:val="00747FF0"/>
    <w:rsid w:val="0075505F"/>
    <w:rsid w:val="007560CD"/>
    <w:rsid w:val="00762CD5"/>
    <w:rsid w:val="00763EB9"/>
    <w:rsid w:val="00764339"/>
    <w:rsid w:val="00764D4E"/>
    <w:rsid w:val="00765A1F"/>
    <w:rsid w:val="00775B6D"/>
    <w:rsid w:val="00776D68"/>
    <w:rsid w:val="007809D8"/>
    <w:rsid w:val="007850EE"/>
    <w:rsid w:val="00785B95"/>
    <w:rsid w:val="007877AC"/>
    <w:rsid w:val="00790E96"/>
    <w:rsid w:val="00793366"/>
    <w:rsid w:val="007952DA"/>
    <w:rsid w:val="007976E4"/>
    <w:rsid w:val="007A52BB"/>
    <w:rsid w:val="007A716F"/>
    <w:rsid w:val="007B270A"/>
    <w:rsid w:val="007B4B56"/>
    <w:rsid w:val="007B66F2"/>
    <w:rsid w:val="007C0695"/>
    <w:rsid w:val="007C419A"/>
    <w:rsid w:val="007C4595"/>
    <w:rsid w:val="007C4C2E"/>
    <w:rsid w:val="007C4CC8"/>
    <w:rsid w:val="007C5426"/>
    <w:rsid w:val="007C5798"/>
    <w:rsid w:val="007D33AA"/>
    <w:rsid w:val="007D4832"/>
    <w:rsid w:val="007E21B2"/>
    <w:rsid w:val="007E2C4E"/>
    <w:rsid w:val="007E3ED4"/>
    <w:rsid w:val="007E48C2"/>
    <w:rsid w:val="007E4EDC"/>
    <w:rsid w:val="007E54EC"/>
    <w:rsid w:val="007F1905"/>
    <w:rsid w:val="007F4F51"/>
    <w:rsid w:val="008003E1"/>
    <w:rsid w:val="00801300"/>
    <w:rsid w:val="00802C64"/>
    <w:rsid w:val="00803DE2"/>
    <w:rsid w:val="00805BB5"/>
    <w:rsid w:val="00805E52"/>
    <w:rsid w:val="008061D0"/>
    <w:rsid w:val="00810B38"/>
    <w:rsid w:val="008204C7"/>
    <w:rsid w:val="00820992"/>
    <w:rsid w:val="00823602"/>
    <w:rsid w:val="008255F5"/>
    <w:rsid w:val="008257AB"/>
    <w:rsid w:val="0083014E"/>
    <w:rsid w:val="0083214A"/>
    <w:rsid w:val="00834220"/>
    <w:rsid w:val="0084351A"/>
    <w:rsid w:val="00845723"/>
    <w:rsid w:val="00851EF9"/>
    <w:rsid w:val="00851FC9"/>
    <w:rsid w:val="00853BC3"/>
    <w:rsid w:val="008577FD"/>
    <w:rsid w:val="00860B03"/>
    <w:rsid w:val="0086229C"/>
    <w:rsid w:val="0086497A"/>
    <w:rsid w:val="00864FD1"/>
    <w:rsid w:val="00865FB9"/>
    <w:rsid w:val="008713A1"/>
    <w:rsid w:val="008754AB"/>
    <w:rsid w:val="00875AB3"/>
    <w:rsid w:val="0088060C"/>
    <w:rsid w:val="00883250"/>
    <w:rsid w:val="00885CE3"/>
    <w:rsid w:val="0089251B"/>
    <w:rsid w:val="00893576"/>
    <w:rsid w:val="00893E73"/>
    <w:rsid w:val="00895734"/>
    <w:rsid w:val="008A286D"/>
    <w:rsid w:val="008A5449"/>
    <w:rsid w:val="008B02DC"/>
    <w:rsid w:val="008B57CE"/>
    <w:rsid w:val="008C26DE"/>
    <w:rsid w:val="008D2225"/>
    <w:rsid w:val="008D4752"/>
    <w:rsid w:val="008D4B80"/>
    <w:rsid w:val="008D50D0"/>
    <w:rsid w:val="008D50E0"/>
    <w:rsid w:val="008D6932"/>
    <w:rsid w:val="008D7298"/>
    <w:rsid w:val="008D7E94"/>
    <w:rsid w:val="008E271C"/>
    <w:rsid w:val="008E418E"/>
    <w:rsid w:val="008E5BC6"/>
    <w:rsid w:val="008E6A25"/>
    <w:rsid w:val="008F21AC"/>
    <w:rsid w:val="008F5193"/>
    <w:rsid w:val="00900A7A"/>
    <w:rsid w:val="009013A7"/>
    <w:rsid w:val="009017FB"/>
    <w:rsid w:val="009017FC"/>
    <w:rsid w:val="00903309"/>
    <w:rsid w:val="009038D5"/>
    <w:rsid w:val="0090506B"/>
    <w:rsid w:val="009050C9"/>
    <w:rsid w:val="009066FC"/>
    <w:rsid w:val="009140A3"/>
    <w:rsid w:val="009144A2"/>
    <w:rsid w:val="00915031"/>
    <w:rsid w:val="0091510C"/>
    <w:rsid w:val="00915653"/>
    <w:rsid w:val="0092077B"/>
    <w:rsid w:val="009259AC"/>
    <w:rsid w:val="00926AD5"/>
    <w:rsid w:val="00926F38"/>
    <w:rsid w:val="00927E68"/>
    <w:rsid w:val="00927EC0"/>
    <w:rsid w:val="00934301"/>
    <w:rsid w:val="0093505B"/>
    <w:rsid w:val="00936C2D"/>
    <w:rsid w:val="00936CD1"/>
    <w:rsid w:val="00941747"/>
    <w:rsid w:val="00941EFB"/>
    <w:rsid w:val="00945279"/>
    <w:rsid w:val="0094688E"/>
    <w:rsid w:val="00947AFB"/>
    <w:rsid w:val="00951D7D"/>
    <w:rsid w:val="009630C7"/>
    <w:rsid w:val="0097187C"/>
    <w:rsid w:val="00972B55"/>
    <w:rsid w:val="00972C24"/>
    <w:rsid w:val="00973069"/>
    <w:rsid w:val="009743B7"/>
    <w:rsid w:val="00975F71"/>
    <w:rsid w:val="00981C21"/>
    <w:rsid w:val="0098228B"/>
    <w:rsid w:val="009828DA"/>
    <w:rsid w:val="00984756"/>
    <w:rsid w:val="00985BAB"/>
    <w:rsid w:val="0098637C"/>
    <w:rsid w:val="0098689F"/>
    <w:rsid w:val="009969C0"/>
    <w:rsid w:val="009A79F1"/>
    <w:rsid w:val="009B1B5F"/>
    <w:rsid w:val="009B6673"/>
    <w:rsid w:val="009B7A3C"/>
    <w:rsid w:val="009C191B"/>
    <w:rsid w:val="009C2BD6"/>
    <w:rsid w:val="009C5881"/>
    <w:rsid w:val="009E1F32"/>
    <w:rsid w:val="009E33C5"/>
    <w:rsid w:val="009E3BA7"/>
    <w:rsid w:val="009E776C"/>
    <w:rsid w:val="009F1BFB"/>
    <w:rsid w:val="009F51E3"/>
    <w:rsid w:val="009F6AB3"/>
    <w:rsid w:val="00A00144"/>
    <w:rsid w:val="00A019FF"/>
    <w:rsid w:val="00A03897"/>
    <w:rsid w:val="00A12462"/>
    <w:rsid w:val="00A1726E"/>
    <w:rsid w:val="00A204CF"/>
    <w:rsid w:val="00A23D49"/>
    <w:rsid w:val="00A27004"/>
    <w:rsid w:val="00A27806"/>
    <w:rsid w:val="00A3014B"/>
    <w:rsid w:val="00A30C29"/>
    <w:rsid w:val="00A34DD6"/>
    <w:rsid w:val="00A36819"/>
    <w:rsid w:val="00A36989"/>
    <w:rsid w:val="00A40EF7"/>
    <w:rsid w:val="00A415E4"/>
    <w:rsid w:val="00A42DD5"/>
    <w:rsid w:val="00A43308"/>
    <w:rsid w:val="00A43628"/>
    <w:rsid w:val="00A54192"/>
    <w:rsid w:val="00A55D0E"/>
    <w:rsid w:val="00A6035E"/>
    <w:rsid w:val="00A6144C"/>
    <w:rsid w:val="00A6304C"/>
    <w:rsid w:val="00A65682"/>
    <w:rsid w:val="00A66617"/>
    <w:rsid w:val="00A671F8"/>
    <w:rsid w:val="00A673A4"/>
    <w:rsid w:val="00A67531"/>
    <w:rsid w:val="00A724AE"/>
    <w:rsid w:val="00A73329"/>
    <w:rsid w:val="00A74BC1"/>
    <w:rsid w:val="00A82359"/>
    <w:rsid w:val="00A865D2"/>
    <w:rsid w:val="00A94C20"/>
    <w:rsid w:val="00AA227F"/>
    <w:rsid w:val="00AA2AA4"/>
    <w:rsid w:val="00AA3BC7"/>
    <w:rsid w:val="00AA754A"/>
    <w:rsid w:val="00AA7A89"/>
    <w:rsid w:val="00AB099E"/>
    <w:rsid w:val="00AB4328"/>
    <w:rsid w:val="00AC0824"/>
    <w:rsid w:val="00AC4EBF"/>
    <w:rsid w:val="00AD412E"/>
    <w:rsid w:val="00AE0A2E"/>
    <w:rsid w:val="00AE354C"/>
    <w:rsid w:val="00AE7A0D"/>
    <w:rsid w:val="00AF46B6"/>
    <w:rsid w:val="00AF4B07"/>
    <w:rsid w:val="00AF5CC8"/>
    <w:rsid w:val="00AF6186"/>
    <w:rsid w:val="00AF69A5"/>
    <w:rsid w:val="00AF7A3A"/>
    <w:rsid w:val="00B03F45"/>
    <w:rsid w:val="00B065E1"/>
    <w:rsid w:val="00B123C1"/>
    <w:rsid w:val="00B160DB"/>
    <w:rsid w:val="00B20836"/>
    <w:rsid w:val="00B235BB"/>
    <w:rsid w:val="00B26B5C"/>
    <w:rsid w:val="00B27A44"/>
    <w:rsid w:val="00B30BBF"/>
    <w:rsid w:val="00B33888"/>
    <w:rsid w:val="00B33C03"/>
    <w:rsid w:val="00B35382"/>
    <w:rsid w:val="00B355FB"/>
    <w:rsid w:val="00B3573E"/>
    <w:rsid w:val="00B4332C"/>
    <w:rsid w:val="00B44E56"/>
    <w:rsid w:val="00B456B8"/>
    <w:rsid w:val="00B46543"/>
    <w:rsid w:val="00B46622"/>
    <w:rsid w:val="00B466CF"/>
    <w:rsid w:val="00B47D33"/>
    <w:rsid w:val="00B5007E"/>
    <w:rsid w:val="00B52BE0"/>
    <w:rsid w:val="00B54133"/>
    <w:rsid w:val="00B701ED"/>
    <w:rsid w:val="00B8086C"/>
    <w:rsid w:val="00B84B87"/>
    <w:rsid w:val="00B85130"/>
    <w:rsid w:val="00B861B4"/>
    <w:rsid w:val="00B86BE1"/>
    <w:rsid w:val="00B86DFE"/>
    <w:rsid w:val="00B90901"/>
    <w:rsid w:val="00B90990"/>
    <w:rsid w:val="00B922FF"/>
    <w:rsid w:val="00B9281E"/>
    <w:rsid w:val="00B93925"/>
    <w:rsid w:val="00B93ECF"/>
    <w:rsid w:val="00B95126"/>
    <w:rsid w:val="00B95187"/>
    <w:rsid w:val="00B9776F"/>
    <w:rsid w:val="00BA02C6"/>
    <w:rsid w:val="00BA2D55"/>
    <w:rsid w:val="00BA4284"/>
    <w:rsid w:val="00BA71B1"/>
    <w:rsid w:val="00BB0637"/>
    <w:rsid w:val="00BB345F"/>
    <w:rsid w:val="00BB6695"/>
    <w:rsid w:val="00BB671F"/>
    <w:rsid w:val="00BB68EA"/>
    <w:rsid w:val="00BC1C27"/>
    <w:rsid w:val="00BC4A8F"/>
    <w:rsid w:val="00BC6BBF"/>
    <w:rsid w:val="00BD0653"/>
    <w:rsid w:val="00BD1572"/>
    <w:rsid w:val="00BD7CF1"/>
    <w:rsid w:val="00BE14E3"/>
    <w:rsid w:val="00BE3774"/>
    <w:rsid w:val="00BE41E5"/>
    <w:rsid w:val="00BE5E2B"/>
    <w:rsid w:val="00BF2B56"/>
    <w:rsid w:val="00BF4109"/>
    <w:rsid w:val="00BF4CC3"/>
    <w:rsid w:val="00C02105"/>
    <w:rsid w:val="00C054C7"/>
    <w:rsid w:val="00C057B5"/>
    <w:rsid w:val="00C06E15"/>
    <w:rsid w:val="00C1206E"/>
    <w:rsid w:val="00C1262B"/>
    <w:rsid w:val="00C144F8"/>
    <w:rsid w:val="00C177D4"/>
    <w:rsid w:val="00C22687"/>
    <w:rsid w:val="00C24805"/>
    <w:rsid w:val="00C27692"/>
    <w:rsid w:val="00C32E4D"/>
    <w:rsid w:val="00C333A0"/>
    <w:rsid w:val="00C36408"/>
    <w:rsid w:val="00C36A81"/>
    <w:rsid w:val="00C404C8"/>
    <w:rsid w:val="00C41974"/>
    <w:rsid w:val="00C419B2"/>
    <w:rsid w:val="00C44229"/>
    <w:rsid w:val="00C45DD8"/>
    <w:rsid w:val="00C51F6C"/>
    <w:rsid w:val="00C525BB"/>
    <w:rsid w:val="00C53F4A"/>
    <w:rsid w:val="00C54125"/>
    <w:rsid w:val="00C55B54"/>
    <w:rsid w:val="00C56AF5"/>
    <w:rsid w:val="00C6098E"/>
    <w:rsid w:val="00C611D8"/>
    <w:rsid w:val="00C6152C"/>
    <w:rsid w:val="00C636D3"/>
    <w:rsid w:val="00C63990"/>
    <w:rsid w:val="00C64EF6"/>
    <w:rsid w:val="00C65050"/>
    <w:rsid w:val="00C74563"/>
    <w:rsid w:val="00C74810"/>
    <w:rsid w:val="00C77330"/>
    <w:rsid w:val="00C81FEA"/>
    <w:rsid w:val="00C8282D"/>
    <w:rsid w:val="00C83870"/>
    <w:rsid w:val="00C90D68"/>
    <w:rsid w:val="00C939FE"/>
    <w:rsid w:val="00C972E9"/>
    <w:rsid w:val="00CA062B"/>
    <w:rsid w:val="00CA239D"/>
    <w:rsid w:val="00CA3F0E"/>
    <w:rsid w:val="00CA4BDA"/>
    <w:rsid w:val="00CB0253"/>
    <w:rsid w:val="00CB1F66"/>
    <w:rsid w:val="00CB2951"/>
    <w:rsid w:val="00CB3C10"/>
    <w:rsid w:val="00CC3FE5"/>
    <w:rsid w:val="00CC71E6"/>
    <w:rsid w:val="00CD282B"/>
    <w:rsid w:val="00CD2AC2"/>
    <w:rsid w:val="00CD4C35"/>
    <w:rsid w:val="00CD5BEE"/>
    <w:rsid w:val="00CD7369"/>
    <w:rsid w:val="00CE0B0E"/>
    <w:rsid w:val="00CE1C26"/>
    <w:rsid w:val="00CE3831"/>
    <w:rsid w:val="00CF520E"/>
    <w:rsid w:val="00CF60C5"/>
    <w:rsid w:val="00D00ABB"/>
    <w:rsid w:val="00D02EEC"/>
    <w:rsid w:val="00D03551"/>
    <w:rsid w:val="00D05DBA"/>
    <w:rsid w:val="00D06A63"/>
    <w:rsid w:val="00D07E0E"/>
    <w:rsid w:val="00D11478"/>
    <w:rsid w:val="00D15ED0"/>
    <w:rsid w:val="00D21B3E"/>
    <w:rsid w:val="00D21FED"/>
    <w:rsid w:val="00D23C7A"/>
    <w:rsid w:val="00D24251"/>
    <w:rsid w:val="00D250D7"/>
    <w:rsid w:val="00D343E2"/>
    <w:rsid w:val="00D361A2"/>
    <w:rsid w:val="00D37294"/>
    <w:rsid w:val="00D37606"/>
    <w:rsid w:val="00D37C1F"/>
    <w:rsid w:val="00D42AFF"/>
    <w:rsid w:val="00D44C2E"/>
    <w:rsid w:val="00D45414"/>
    <w:rsid w:val="00D47899"/>
    <w:rsid w:val="00D508A4"/>
    <w:rsid w:val="00D51825"/>
    <w:rsid w:val="00D566BD"/>
    <w:rsid w:val="00D56A5D"/>
    <w:rsid w:val="00D576CF"/>
    <w:rsid w:val="00D57A4D"/>
    <w:rsid w:val="00D60AA7"/>
    <w:rsid w:val="00D6435F"/>
    <w:rsid w:val="00D7270E"/>
    <w:rsid w:val="00D75E28"/>
    <w:rsid w:val="00D772C2"/>
    <w:rsid w:val="00D8008E"/>
    <w:rsid w:val="00D82C45"/>
    <w:rsid w:val="00D908A8"/>
    <w:rsid w:val="00D95543"/>
    <w:rsid w:val="00D977B6"/>
    <w:rsid w:val="00DA2681"/>
    <w:rsid w:val="00DA4A31"/>
    <w:rsid w:val="00DA58F2"/>
    <w:rsid w:val="00DA7B04"/>
    <w:rsid w:val="00DB36C2"/>
    <w:rsid w:val="00DC0361"/>
    <w:rsid w:val="00DC169B"/>
    <w:rsid w:val="00DC2AB9"/>
    <w:rsid w:val="00DC63F0"/>
    <w:rsid w:val="00DD03F9"/>
    <w:rsid w:val="00DD4AAB"/>
    <w:rsid w:val="00DD5146"/>
    <w:rsid w:val="00DD6EE5"/>
    <w:rsid w:val="00DE386C"/>
    <w:rsid w:val="00DE3CEF"/>
    <w:rsid w:val="00DE4D35"/>
    <w:rsid w:val="00DE7FA5"/>
    <w:rsid w:val="00DF098B"/>
    <w:rsid w:val="00DF11C4"/>
    <w:rsid w:val="00DF1798"/>
    <w:rsid w:val="00DF210C"/>
    <w:rsid w:val="00DF4B6A"/>
    <w:rsid w:val="00DF6C97"/>
    <w:rsid w:val="00E0095B"/>
    <w:rsid w:val="00E01E65"/>
    <w:rsid w:val="00E02C09"/>
    <w:rsid w:val="00E04D59"/>
    <w:rsid w:val="00E06BF7"/>
    <w:rsid w:val="00E0702D"/>
    <w:rsid w:val="00E07DA1"/>
    <w:rsid w:val="00E10487"/>
    <w:rsid w:val="00E123CB"/>
    <w:rsid w:val="00E203FC"/>
    <w:rsid w:val="00E20E13"/>
    <w:rsid w:val="00E21DBC"/>
    <w:rsid w:val="00E22925"/>
    <w:rsid w:val="00E27330"/>
    <w:rsid w:val="00E275D7"/>
    <w:rsid w:val="00E27DBE"/>
    <w:rsid w:val="00E32AB1"/>
    <w:rsid w:val="00E36A08"/>
    <w:rsid w:val="00E36C71"/>
    <w:rsid w:val="00E40404"/>
    <w:rsid w:val="00E40595"/>
    <w:rsid w:val="00E41FD4"/>
    <w:rsid w:val="00E440DF"/>
    <w:rsid w:val="00E4529A"/>
    <w:rsid w:val="00E458E2"/>
    <w:rsid w:val="00E459C6"/>
    <w:rsid w:val="00E47589"/>
    <w:rsid w:val="00E52A6A"/>
    <w:rsid w:val="00E60D17"/>
    <w:rsid w:val="00E64915"/>
    <w:rsid w:val="00E661D4"/>
    <w:rsid w:val="00E70091"/>
    <w:rsid w:val="00E720F5"/>
    <w:rsid w:val="00E74F76"/>
    <w:rsid w:val="00E76CFA"/>
    <w:rsid w:val="00E76D47"/>
    <w:rsid w:val="00E77CB3"/>
    <w:rsid w:val="00E834F3"/>
    <w:rsid w:val="00E849F7"/>
    <w:rsid w:val="00E85935"/>
    <w:rsid w:val="00E90302"/>
    <w:rsid w:val="00E91F72"/>
    <w:rsid w:val="00E95833"/>
    <w:rsid w:val="00E97396"/>
    <w:rsid w:val="00EA1458"/>
    <w:rsid w:val="00EA185E"/>
    <w:rsid w:val="00EA4B25"/>
    <w:rsid w:val="00EA55B2"/>
    <w:rsid w:val="00EA592A"/>
    <w:rsid w:val="00EB14E4"/>
    <w:rsid w:val="00EB32A5"/>
    <w:rsid w:val="00EB34ED"/>
    <w:rsid w:val="00EB7BE0"/>
    <w:rsid w:val="00EB7E63"/>
    <w:rsid w:val="00EC0757"/>
    <w:rsid w:val="00EC315E"/>
    <w:rsid w:val="00ED077C"/>
    <w:rsid w:val="00ED1190"/>
    <w:rsid w:val="00ED41F7"/>
    <w:rsid w:val="00ED6544"/>
    <w:rsid w:val="00ED7E10"/>
    <w:rsid w:val="00EE0277"/>
    <w:rsid w:val="00EE2CD6"/>
    <w:rsid w:val="00EE3A79"/>
    <w:rsid w:val="00EE3E00"/>
    <w:rsid w:val="00EE5DD2"/>
    <w:rsid w:val="00EF0A2E"/>
    <w:rsid w:val="00EF63C2"/>
    <w:rsid w:val="00F00A79"/>
    <w:rsid w:val="00F00E86"/>
    <w:rsid w:val="00F016FE"/>
    <w:rsid w:val="00F07C1E"/>
    <w:rsid w:val="00F105DB"/>
    <w:rsid w:val="00F13030"/>
    <w:rsid w:val="00F132BC"/>
    <w:rsid w:val="00F13D80"/>
    <w:rsid w:val="00F16AAA"/>
    <w:rsid w:val="00F17527"/>
    <w:rsid w:val="00F21161"/>
    <w:rsid w:val="00F218EF"/>
    <w:rsid w:val="00F21BC7"/>
    <w:rsid w:val="00F24D08"/>
    <w:rsid w:val="00F266A2"/>
    <w:rsid w:val="00F32269"/>
    <w:rsid w:val="00F40E9F"/>
    <w:rsid w:val="00F461A4"/>
    <w:rsid w:val="00F473C2"/>
    <w:rsid w:val="00F50CB3"/>
    <w:rsid w:val="00F55AAF"/>
    <w:rsid w:val="00F56A6F"/>
    <w:rsid w:val="00F5709C"/>
    <w:rsid w:val="00F570D2"/>
    <w:rsid w:val="00F64EF1"/>
    <w:rsid w:val="00F70451"/>
    <w:rsid w:val="00F74B7D"/>
    <w:rsid w:val="00F845B2"/>
    <w:rsid w:val="00F8765F"/>
    <w:rsid w:val="00F90767"/>
    <w:rsid w:val="00F91733"/>
    <w:rsid w:val="00F9607E"/>
    <w:rsid w:val="00F96A89"/>
    <w:rsid w:val="00FA34DD"/>
    <w:rsid w:val="00FA685B"/>
    <w:rsid w:val="00FA73C8"/>
    <w:rsid w:val="00FB0288"/>
    <w:rsid w:val="00FB0C01"/>
    <w:rsid w:val="00FB2B45"/>
    <w:rsid w:val="00FB4619"/>
    <w:rsid w:val="00FC18F2"/>
    <w:rsid w:val="00FC39E5"/>
    <w:rsid w:val="00FC3A78"/>
    <w:rsid w:val="00FD06B0"/>
    <w:rsid w:val="00FD1005"/>
    <w:rsid w:val="00FD4BAD"/>
    <w:rsid w:val="00FD6C75"/>
    <w:rsid w:val="00FE2B41"/>
    <w:rsid w:val="00FE2C02"/>
    <w:rsid w:val="00FE2D26"/>
    <w:rsid w:val="00FE71B3"/>
    <w:rsid w:val="00FF1BEB"/>
    <w:rsid w:val="00FF245F"/>
    <w:rsid w:val="00FF42C5"/>
    <w:rsid w:val="00FF632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57" w:unhideWhenUsed="1"/>
    <w:lsdException w:name="footer" w:semiHidden="1" w:uiPriority="57"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semiHidden/>
    <w:rsid w:val="007877AC"/>
    <w:pPr>
      <w:jc w:val="both"/>
    </w:pPr>
    <w:rPr>
      <w:rFonts w:eastAsiaTheme="minorEastAsia"/>
      <w:sz w:val="24"/>
    </w:rPr>
  </w:style>
  <w:style w:type="paragraph" w:styleId="Titolo1">
    <w:name w:val="heading 1"/>
    <w:basedOn w:val="Normale"/>
    <w:next w:val="Normale"/>
    <w:link w:val="Titolo1Carattere"/>
    <w:uiPriority w:val="99"/>
    <w:semiHidden/>
    <w:rsid w:val="007877AC"/>
    <w:pPr>
      <w:spacing w:before="480"/>
      <w:contextualSpacing/>
      <w:outlineLvl w:val="0"/>
    </w:pPr>
    <w:rPr>
      <w:rFonts w:asciiTheme="majorHAnsi" w:eastAsiaTheme="majorEastAsia" w:hAnsiTheme="majorHAnsi" w:cstheme="majorBidi"/>
      <w:b/>
      <w:bCs/>
      <w:color w:val="333333"/>
      <w:sz w:val="28"/>
      <w:szCs w:val="28"/>
    </w:rPr>
  </w:style>
  <w:style w:type="paragraph" w:styleId="Titolo2">
    <w:name w:val="heading 2"/>
    <w:basedOn w:val="Normale"/>
    <w:next w:val="Normale"/>
    <w:link w:val="Titolo2Carattere"/>
    <w:uiPriority w:val="99"/>
    <w:semiHidden/>
    <w:rsid w:val="007877AC"/>
    <w:pPr>
      <w:spacing w:before="200"/>
      <w:outlineLvl w:val="1"/>
    </w:pPr>
    <w:rPr>
      <w:rFonts w:asciiTheme="majorHAnsi" w:eastAsiaTheme="majorEastAsia" w:hAnsiTheme="majorHAnsi" w:cstheme="majorBidi"/>
      <w:b/>
      <w:bCs/>
      <w:color w:val="4D4D4D"/>
      <w:sz w:val="26"/>
      <w:szCs w:val="26"/>
    </w:rPr>
  </w:style>
  <w:style w:type="paragraph" w:styleId="Titolo3">
    <w:name w:val="heading 3"/>
    <w:basedOn w:val="Normale"/>
    <w:next w:val="Normale"/>
    <w:link w:val="Titolo3Carattere"/>
    <w:uiPriority w:val="99"/>
    <w:semiHidden/>
    <w:rsid w:val="007877AC"/>
    <w:pPr>
      <w:spacing w:before="200" w:line="271" w:lineRule="auto"/>
      <w:outlineLvl w:val="2"/>
    </w:pPr>
    <w:rPr>
      <w:rFonts w:asciiTheme="majorHAnsi" w:eastAsiaTheme="majorEastAsia" w:hAnsiTheme="majorHAnsi" w:cstheme="majorBidi"/>
      <w:b/>
      <w:bCs/>
      <w:color w:val="5F5F5F"/>
    </w:rPr>
  </w:style>
  <w:style w:type="paragraph" w:styleId="Titolo4">
    <w:name w:val="heading 4"/>
    <w:basedOn w:val="Normale"/>
    <w:next w:val="Normale"/>
    <w:link w:val="Titolo4Carattere"/>
    <w:uiPriority w:val="99"/>
    <w:semiHidden/>
    <w:rsid w:val="007877AC"/>
    <w:pPr>
      <w:spacing w:before="200"/>
      <w:outlineLvl w:val="3"/>
    </w:pPr>
    <w:rPr>
      <w:rFonts w:asciiTheme="majorHAnsi" w:eastAsiaTheme="majorEastAsia" w:hAnsiTheme="majorHAnsi" w:cstheme="majorBidi"/>
      <w:b/>
      <w:bCs/>
      <w:i/>
      <w:iCs/>
      <w:color w:val="777777"/>
    </w:rPr>
  </w:style>
  <w:style w:type="paragraph" w:styleId="Titolo5">
    <w:name w:val="heading 5"/>
    <w:basedOn w:val="Normale"/>
    <w:next w:val="Normale"/>
    <w:link w:val="Titolo5Carattere"/>
    <w:uiPriority w:val="99"/>
    <w:semiHidden/>
    <w:qFormat/>
    <w:rsid w:val="007877AC"/>
    <w:pPr>
      <w:spacing w:before="200"/>
      <w:outlineLvl w:val="4"/>
    </w:pPr>
    <w:rPr>
      <w:rFonts w:asciiTheme="majorHAnsi" w:eastAsiaTheme="majorEastAsia" w:hAnsiTheme="majorHAnsi" w:cstheme="majorBidi"/>
      <w:b/>
      <w:bCs/>
      <w:color w:val="808080"/>
      <w:sz w:val="22"/>
    </w:rPr>
  </w:style>
  <w:style w:type="paragraph" w:styleId="Titolo6">
    <w:name w:val="heading 6"/>
    <w:basedOn w:val="Normale"/>
    <w:next w:val="Normale"/>
    <w:link w:val="Titolo6Carattere"/>
    <w:uiPriority w:val="99"/>
    <w:semiHidden/>
    <w:rsid w:val="007877AC"/>
    <w:pPr>
      <w:spacing w:line="271" w:lineRule="auto"/>
      <w:outlineLvl w:val="5"/>
    </w:pPr>
    <w:rPr>
      <w:rFonts w:asciiTheme="majorHAnsi" w:eastAsiaTheme="majorEastAsia" w:hAnsiTheme="majorHAnsi" w:cstheme="majorBidi"/>
      <w:b/>
      <w:bCs/>
      <w:i/>
      <w:iCs/>
      <w:color w:val="7F7F7F" w:themeColor="text1" w:themeTint="80"/>
      <w:lang w:bidi="en-US"/>
    </w:rPr>
  </w:style>
  <w:style w:type="paragraph" w:styleId="Titolo7">
    <w:name w:val="heading 7"/>
    <w:basedOn w:val="Normale"/>
    <w:next w:val="Normale"/>
    <w:link w:val="Titolo7Carattere"/>
    <w:uiPriority w:val="99"/>
    <w:semiHidden/>
    <w:qFormat/>
    <w:rsid w:val="007877AC"/>
    <w:pPr>
      <w:outlineLvl w:val="6"/>
    </w:pPr>
    <w:rPr>
      <w:rFonts w:asciiTheme="majorHAnsi" w:eastAsiaTheme="majorEastAsia" w:hAnsiTheme="majorHAnsi" w:cstheme="majorBidi"/>
      <w:i/>
      <w:iCs/>
      <w:sz w:val="22"/>
      <w:lang w:bidi="en-US"/>
    </w:rPr>
  </w:style>
  <w:style w:type="paragraph" w:styleId="Titolo8">
    <w:name w:val="heading 8"/>
    <w:basedOn w:val="Normale"/>
    <w:next w:val="Normale"/>
    <w:link w:val="Titolo8Carattere"/>
    <w:uiPriority w:val="99"/>
    <w:semiHidden/>
    <w:qFormat/>
    <w:rsid w:val="007877AC"/>
    <w:pPr>
      <w:outlineLvl w:val="7"/>
    </w:pPr>
    <w:rPr>
      <w:rFonts w:asciiTheme="majorHAnsi" w:eastAsiaTheme="majorEastAsia" w:hAnsiTheme="majorHAnsi" w:cstheme="majorBidi"/>
      <w:sz w:val="20"/>
      <w:szCs w:val="20"/>
      <w:lang w:bidi="en-US"/>
    </w:rPr>
  </w:style>
  <w:style w:type="paragraph" w:styleId="Titolo9">
    <w:name w:val="heading 9"/>
    <w:basedOn w:val="Normale"/>
    <w:next w:val="Normale"/>
    <w:link w:val="Titolo9Carattere"/>
    <w:uiPriority w:val="99"/>
    <w:semiHidden/>
    <w:qFormat/>
    <w:rsid w:val="007877AC"/>
    <w:pPr>
      <w:outlineLvl w:val="8"/>
    </w:pPr>
    <w:rPr>
      <w:rFonts w:asciiTheme="majorHAnsi" w:eastAsiaTheme="majorEastAsia" w:hAnsiTheme="majorHAnsi" w:cstheme="majorBidi"/>
      <w:i/>
      <w:iCs/>
      <w:spacing w:val="5"/>
      <w:sz w:val="20"/>
      <w:szCs w:val="20"/>
      <w:lang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rsid w:val="007877AC"/>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877AC"/>
    <w:rPr>
      <w:rFonts w:ascii="Tahoma" w:eastAsiaTheme="minorEastAsia" w:hAnsi="Tahoma" w:cs="Tahoma"/>
      <w:sz w:val="16"/>
      <w:szCs w:val="16"/>
    </w:rPr>
  </w:style>
  <w:style w:type="character" w:styleId="Titolodellibro">
    <w:name w:val="Book Title"/>
    <w:uiPriority w:val="99"/>
    <w:semiHidden/>
    <w:qFormat/>
    <w:rsid w:val="007877AC"/>
    <w:rPr>
      <w:i/>
      <w:iCs/>
      <w:smallCaps/>
      <w:spacing w:val="5"/>
    </w:rPr>
  </w:style>
  <w:style w:type="paragraph" w:customStyle="1" w:styleId="ECHRHeader">
    <w:name w:val="ECHR_Header"/>
    <w:aliases w:val="Ju_Header"/>
    <w:basedOn w:val="Intestazione"/>
    <w:uiPriority w:val="4"/>
    <w:qFormat/>
    <w:rsid w:val="007877AC"/>
    <w:pPr>
      <w:tabs>
        <w:tab w:val="clear" w:pos="4536"/>
        <w:tab w:val="clear" w:pos="9072"/>
        <w:tab w:val="center" w:pos="3686"/>
        <w:tab w:val="right" w:pos="7371"/>
      </w:tabs>
      <w:jc w:val="left"/>
    </w:pPr>
    <w:rPr>
      <w:sz w:val="18"/>
    </w:rPr>
  </w:style>
  <w:style w:type="paragraph" w:customStyle="1" w:styleId="ECHRFooter">
    <w:name w:val="ECHR_Footer"/>
    <w:aliases w:val="Footer_ECHR"/>
    <w:basedOn w:val="Pidipagina"/>
    <w:uiPriority w:val="57"/>
    <w:semiHidden/>
    <w:rsid w:val="007877AC"/>
    <w:pPr>
      <w:jc w:val="left"/>
    </w:pPr>
    <w:rPr>
      <w:sz w:val="8"/>
    </w:rPr>
  </w:style>
  <w:style w:type="character" w:styleId="Enfasigrassetto">
    <w:name w:val="Strong"/>
    <w:uiPriority w:val="99"/>
    <w:semiHidden/>
    <w:qFormat/>
    <w:rsid w:val="007877AC"/>
    <w:rPr>
      <w:b/>
      <w:bCs/>
    </w:rPr>
  </w:style>
  <w:style w:type="paragraph" w:styleId="Nessunaspaziatura">
    <w:name w:val="No Spacing"/>
    <w:basedOn w:val="Normale"/>
    <w:link w:val="NessunaspaziaturaCarattere"/>
    <w:semiHidden/>
    <w:qFormat/>
    <w:rsid w:val="007877AC"/>
    <w:rPr>
      <w:sz w:val="22"/>
    </w:rPr>
  </w:style>
  <w:style w:type="character" w:customStyle="1" w:styleId="NessunaspaziaturaCarattere">
    <w:name w:val="Nessuna spaziatura Carattere"/>
    <w:basedOn w:val="Carpredefinitoparagrafo"/>
    <w:link w:val="Nessunaspaziatura"/>
    <w:semiHidden/>
    <w:rsid w:val="007877AC"/>
    <w:rPr>
      <w:rFonts w:eastAsiaTheme="minorEastAsia"/>
    </w:rPr>
  </w:style>
  <w:style w:type="paragraph" w:customStyle="1" w:styleId="ECHRFooterLine">
    <w:name w:val="ECHR_Footer_Line"/>
    <w:aliases w:val="Footer_Line"/>
    <w:basedOn w:val="Normale"/>
    <w:next w:val="ECHRFooter"/>
    <w:uiPriority w:val="57"/>
    <w:semiHidden/>
    <w:rsid w:val="007877AC"/>
    <w:pPr>
      <w:pBdr>
        <w:top w:val="single" w:sz="6" w:space="1" w:color="5F5F5F"/>
      </w:pBdr>
      <w:tabs>
        <w:tab w:val="center" w:pos="4536"/>
        <w:tab w:val="right" w:pos="9696"/>
      </w:tabs>
      <w:ind w:left="-680" w:right="-680"/>
      <w:jc w:val="left"/>
    </w:pPr>
    <w:rPr>
      <w:color w:val="5F5F5F"/>
    </w:rPr>
  </w:style>
  <w:style w:type="paragraph" w:customStyle="1" w:styleId="DecHTitle">
    <w:name w:val="Dec_H_Title"/>
    <w:basedOn w:val="ECHRTitleCentre1"/>
    <w:uiPriority w:val="7"/>
    <w:semiHidden/>
    <w:qFormat/>
    <w:rsid w:val="007877AC"/>
  </w:style>
  <w:style w:type="paragraph" w:customStyle="1" w:styleId="DecList">
    <w:name w:val="Dec_List"/>
    <w:basedOn w:val="Normale"/>
    <w:uiPriority w:val="9"/>
    <w:semiHidden/>
    <w:qFormat/>
    <w:rsid w:val="007877AC"/>
    <w:pPr>
      <w:spacing w:before="240"/>
      <w:ind w:left="284"/>
    </w:pPr>
  </w:style>
  <w:style w:type="paragraph" w:customStyle="1" w:styleId="DummyStyle">
    <w:name w:val="Dummy_Style"/>
    <w:basedOn w:val="Normale"/>
    <w:semiHidden/>
    <w:qFormat/>
    <w:rsid w:val="007877AC"/>
    <w:rPr>
      <w:color w:val="00B050"/>
    </w:rPr>
  </w:style>
  <w:style w:type="paragraph" w:customStyle="1" w:styleId="ECHRTitleCentre3">
    <w:name w:val="ECHR_Title_Centre_3"/>
    <w:aliases w:val="Ju_H_Article"/>
    <w:basedOn w:val="Normale"/>
    <w:next w:val="ECHRParaQuote"/>
    <w:uiPriority w:val="27"/>
    <w:qFormat/>
    <w:rsid w:val="007877AC"/>
    <w:pPr>
      <w:keepNext/>
      <w:keepLines/>
      <w:spacing w:before="240" w:after="120"/>
      <w:jc w:val="center"/>
      <w:outlineLvl w:val="3"/>
    </w:pPr>
    <w:rPr>
      <w:rFonts w:asciiTheme="majorHAnsi" w:hAnsiTheme="majorHAnsi"/>
      <w:b/>
      <w:sz w:val="20"/>
      <w:lang w:bidi="en-US"/>
    </w:rPr>
  </w:style>
  <w:style w:type="paragraph" w:customStyle="1" w:styleId="ECHRTitleCentre1">
    <w:name w:val="ECHR_Title_Centre_1"/>
    <w:aliases w:val="Opi_H_Head"/>
    <w:basedOn w:val="Normale"/>
    <w:next w:val="OpiPara"/>
    <w:uiPriority w:val="39"/>
    <w:qFormat/>
    <w:rsid w:val="007877AC"/>
    <w:pPr>
      <w:keepNext/>
      <w:keepLines/>
      <w:spacing w:after="240"/>
      <w:jc w:val="center"/>
      <w:outlineLvl w:val="0"/>
    </w:pPr>
    <w:rPr>
      <w:rFonts w:asciiTheme="majorHAnsi" w:hAnsiTheme="majorHAnsi"/>
      <w:sz w:val="28"/>
    </w:rPr>
  </w:style>
  <w:style w:type="paragraph" w:customStyle="1" w:styleId="JuAppQuestion">
    <w:name w:val="Ju_App_Question"/>
    <w:basedOn w:val="Normale"/>
    <w:uiPriority w:val="5"/>
    <w:semiHidden/>
    <w:qFormat/>
    <w:rsid w:val="007877AC"/>
    <w:pPr>
      <w:numPr>
        <w:numId w:val="17"/>
      </w:numPr>
      <w:jc w:val="left"/>
    </w:pPr>
    <w:rPr>
      <w:b/>
    </w:rPr>
  </w:style>
  <w:style w:type="paragraph" w:customStyle="1" w:styleId="JuCourt">
    <w:name w:val="Ju_Court"/>
    <w:basedOn w:val="Normale"/>
    <w:next w:val="Normale"/>
    <w:uiPriority w:val="16"/>
    <w:qFormat/>
    <w:rsid w:val="007877AC"/>
    <w:pPr>
      <w:tabs>
        <w:tab w:val="left" w:pos="907"/>
        <w:tab w:val="left" w:pos="1701"/>
        <w:tab w:val="right" w:pos="7371"/>
      </w:tabs>
      <w:spacing w:before="240"/>
      <w:ind w:left="397" w:hanging="397"/>
      <w:jc w:val="left"/>
    </w:pPr>
    <w:rPr>
      <w:lang w:bidi="en-US"/>
    </w:rPr>
  </w:style>
  <w:style w:type="paragraph" w:customStyle="1" w:styleId="JuHeaderLandscape">
    <w:name w:val="Ju_Header_Landscape"/>
    <w:basedOn w:val="ECHRHeader"/>
    <w:uiPriority w:val="4"/>
    <w:qFormat/>
    <w:rsid w:val="007877AC"/>
    <w:pPr>
      <w:tabs>
        <w:tab w:val="clear" w:pos="3686"/>
        <w:tab w:val="clear" w:pos="7371"/>
        <w:tab w:val="center" w:pos="6146"/>
        <w:tab w:val="right" w:pos="12293"/>
      </w:tabs>
    </w:pPr>
  </w:style>
  <w:style w:type="paragraph" w:customStyle="1" w:styleId="ECHRTitleCentre2">
    <w:name w:val="ECHR_Title_Centre_2"/>
    <w:aliases w:val="Dec_H_Case"/>
    <w:basedOn w:val="Normale"/>
    <w:next w:val="ECHRPara"/>
    <w:uiPriority w:val="8"/>
    <w:qFormat/>
    <w:rsid w:val="007877AC"/>
    <w:pPr>
      <w:spacing w:after="240"/>
      <w:jc w:val="center"/>
      <w:outlineLvl w:val="0"/>
    </w:pPr>
    <w:rPr>
      <w:rFonts w:asciiTheme="majorHAnsi" w:hAnsiTheme="majorHAnsi"/>
    </w:rPr>
  </w:style>
  <w:style w:type="paragraph" w:customStyle="1" w:styleId="JuInitialled">
    <w:name w:val="Ju_Initialled"/>
    <w:basedOn w:val="Normale"/>
    <w:uiPriority w:val="31"/>
    <w:qFormat/>
    <w:rsid w:val="007877AC"/>
    <w:pPr>
      <w:tabs>
        <w:tab w:val="center" w:pos="6407"/>
      </w:tabs>
      <w:spacing w:before="720"/>
      <w:jc w:val="right"/>
    </w:pPr>
  </w:style>
  <w:style w:type="paragraph" w:styleId="Titolo">
    <w:name w:val="Title"/>
    <w:basedOn w:val="Normale"/>
    <w:next w:val="Normale"/>
    <w:link w:val="TitoloCarattere"/>
    <w:uiPriority w:val="99"/>
    <w:semiHidden/>
    <w:qFormat/>
    <w:rsid w:val="007877AC"/>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oloCarattere">
    <w:name w:val="Titolo Carattere"/>
    <w:basedOn w:val="Carpredefinitoparagrafo"/>
    <w:link w:val="Titolo"/>
    <w:uiPriority w:val="99"/>
    <w:semiHidden/>
    <w:rsid w:val="007877AC"/>
    <w:rPr>
      <w:rFonts w:asciiTheme="majorHAnsi" w:eastAsiaTheme="majorEastAsia" w:hAnsiTheme="majorHAnsi" w:cstheme="majorBidi"/>
      <w:spacing w:val="5"/>
      <w:sz w:val="52"/>
      <w:szCs w:val="52"/>
      <w:lang w:bidi="en-US"/>
    </w:rPr>
  </w:style>
  <w:style w:type="paragraph" w:customStyle="1" w:styleId="ECHRHeading3">
    <w:name w:val="ECHR_Heading_3"/>
    <w:aliases w:val="Ju_H_1."/>
    <w:basedOn w:val="Titolo3"/>
    <w:next w:val="ECHRPara"/>
    <w:uiPriority w:val="21"/>
    <w:qFormat/>
    <w:rsid w:val="007877AC"/>
    <w:pPr>
      <w:keepNext/>
      <w:keepLines/>
      <w:tabs>
        <w:tab w:val="left" w:pos="731"/>
      </w:tabs>
      <w:spacing w:before="240" w:after="120" w:line="240" w:lineRule="auto"/>
      <w:ind w:left="732" w:hanging="301"/>
    </w:pPr>
    <w:rPr>
      <w:b w:val="0"/>
      <w:i/>
      <w:color w:val="auto"/>
    </w:rPr>
  </w:style>
  <w:style w:type="paragraph" w:customStyle="1" w:styleId="ECHRHeading4">
    <w:name w:val="ECHR_Heading_4"/>
    <w:aliases w:val="Ju_H_a"/>
    <w:basedOn w:val="Titolo4"/>
    <w:next w:val="ECHRPara"/>
    <w:uiPriority w:val="22"/>
    <w:qFormat/>
    <w:rsid w:val="007877AC"/>
    <w:pPr>
      <w:keepNext/>
      <w:keepLines/>
      <w:tabs>
        <w:tab w:val="left" w:pos="975"/>
      </w:tabs>
      <w:spacing w:before="240" w:after="120"/>
      <w:ind w:left="975" w:hanging="340"/>
    </w:pPr>
    <w:rPr>
      <w:i w:val="0"/>
      <w:color w:val="auto"/>
      <w:sz w:val="20"/>
    </w:rPr>
  </w:style>
  <w:style w:type="paragraph" w:customStyle="1" w:styleId="ECHRHeading5">
    <w:name w:val="ECHR_Heading_5"/>
    <w:aliases w:val="Ju_H_i"/>
    <w:basedOn w:val="Titolo5"/>
    <w:next w:val="ECHRPara"/>
    <w:uiPriority w:val="23"/>
    <w:qFormat/>
    <w:rsid w:val="007877AC"/>
    <w:pPr>
      <w:keepNext/>
      <w:keepLines/>
      <w:tabs>
        <w:tab w:val="left" w:pos="1191"/>
      </w:tabs>
      <w:spacing w:before="240" w:after="120"/>
      <w:ind w:left="1190" w:hanging="357"/>
    </w:pPr>
    <w:rPr>
      <w:b w:val="0"/>
      <w:i/>
      <w:color w:val="auto"/>
      <w:sz w:val="20"/>
    </w:rPr>
  </w:style>
  <w:style w:type="paragraph" w:customStyle="1" w:styleId="ECHRHeading6">
    <w:name w:val="ECHR_Heading_6"/>
    <w:aliases w:val="Ju_H_alpha"/>
    <w:basedOn w:val="Titolo6"/>
    <w:next w:val="ECHRPara"/>
    <w:uiPriority w:val="24"/>
    <w:qFormat/>
    <w:rsid w:val="007877AC"/>
    <w:pPr>
      <w:keepNext/>
      <w:keepLines/>
      <w:tabs>
        <w:tab w:val="left" w:pos="1372"/>
      </w:tabs>
      <w:spacing w:before="240" w:after="120" w:line="240" w:lineRule="auto"/>
      <w:ind w:left="1373" w:hanging="335"/>
    </w:pPr>
    <w:rPr>
      <w:b w:val="0"/>
      <w:color w:val="auto"/>
      <w:sz w:val="20"/>
    </w:rPr>
  </w:style>
  <w:style w:type="paragraph" w:customStyle="1" w:styleId="ECHRHeading7">
    <w:name w:val="ECHR_Heading_7"/>
    <w:aliases w:val="Ju_H_–"/>
    <w:basedOn w:val="Titolo7"/>
    <w:next w:val="ECHRPara"/>
    <w:uiPriority w:val="25"/>
    <w:qFormat/>
    <w:rsid w:val="007877AC"/>
    <w:pPr>
      <w:keepNext/>
      <w:keepLines/>
      <w:spacing w:before="240" w:after="120"/>
      <w:ind w:left="1236"/>
    </w:pPr>
    <w:rPr>
      <w:sz w:val="20"/>
    </w:rPr>
  </w:style>
  <w:style w:type="character" w:customStyle="1" w:styleId="JuITMark">
    <w:name w:val="Ju_ITMark"/>
    <w:basedOn w:val="Carpredefinitoparagrafo"/>
    <w:uiPriority w:val="38"/>
    <w:qFormat/>
    <w:rsid w:val="007877AC"/>
    <w:rPr>
      <w:vanish w:val="0"/>
      <w:color w:val="auto"/>
      <w:sz w:val="14"/>
      <w:bdr w:val="none" w:sz="0" w:space="0" w:color="auto"/>
      <w:shd w:val="clear" w:color="auto" w:fill="BEE5FF" w:themeFill="background1" w:themeFillTint="33"/>
    </w:rPr>
  </w:style>
  <w:style w:type="character" w:customStyle="1" w:styleId="JUNAMES">
    <w:name w:val="JU_NAMES"/>
    <w:uiPriority w:val="17"/>
    <w:qFormat/>
    <w:rsid w:val="007877AC"/>
    <w:rPr>
      <w:caps w:val="0"/>
      <w:smallCaps/>
    </w:rPr>
  </w:style>
  <w:style w:type="paragraph" w:customStyle="1" w:styleId="JuParaSub">
    <w:name w:val="Ju_Para_Sub"/>
    <w:basedOn w:val="ECHRPara"/>
    <w:uiPriority w:val="13"/>
    <w:qFormat/>
    <w:rsid w:val="007877AC"/>
    <w:pPr>
      <w:ind w:left="284"/>
    </w:pPr>
  </w:style>
  <w:style w:type="paragraph" w:styleId="Intestazione">
    <w:name w:val="header"/>
    <w:basedOn w:val="Normale"/>
    <w:link w:val="IntestazioneCarattere"/>
    <w:uiPriority w:val="57"/>
    <w:semiHidden/>
    <w:rsid w:val="007877AC"/>
    <w:pPr>
      <w:tabs>
        <w:tab w:val="center" w:pos="4536"/>
        <w:tab w:val="right" w:pos="9072"/>
      </w:tabs>
    </w:pPr>
    <w:rPr>
      <w:rFonts w:eastAsiaTheme="minorHAnsi"/>
    </w:rPr>
  </w:style>
  <w:style w:type="character" w:customStyle="1" w:styleId="IntestazioneCarattere">
    <w:name w:val="Intestazione Carattere"/>
    <w:basedOn w:val="Carpredefinitoparagrafo"/>
    <w:link w:val="Intestazione"/>
    <w:uiPriority w:val="57"/>
    <w:semiHidden/>
    <w:rsid w:val="007877AC"/>
    <w:rPr>
      <w:sz w:val="24"/>
    </w:rPr>
  </w:style>
  <w:style w:type="character" w:customStyle="1" w:styleId="Titolo1Carattere">
    <w:name w:val="Titolo 1 Carattere"/>
    <w:basedOn w:val="Carpredefinitoparagrafo"/>
    <w:link w:val="Titolo1"/>
    <w:uiPriority w:val="99"/>
    <w:semiHidden/>
    <w:rsid w:val="007877AC"/>
    <w:rPr>
      <w:rFonts w:asciiTheme="majorHAnsi" w:eastAsiaTheme="majorEastAsia" w:hAnsiTheme="majorHAnsi" w:cstheme="majorBidi"/>
      <w:b/>
      <w:bCs/>
      <w:color w:val="333333"/>
      <w:sz w:val="28"/>
      <w:szCs w:val="28"/>
    </w:rPr>
  </w:style>
  <w:style w:type="paragraph" w:customStyle="1" w:styleId="ECHRHeading1">
    <w:name w:val="ECHR_Heading_1"/>
    <w:aliases w:val="Ju_H_I_Roman"/>
    <w:basedOn w:val="Titolo1"/>
    <w:next w:val="ECHRPara"/>
    <w:uiPriority w:val="19"/>
    <w:qFormat/>
    <w:rsid w:val="007877AC"/>
    <w:pPr>
      <w:keepNext/>
      <w:keepLines/>
      <w:tabs>
        <w:tab w:val="left" w:pos="357"/>
      </w:tabs>
      <w:spacing w:before="360" w:after="240"/>
      <w:ind w:left="357" w:hanging="357"/>
      <w:contextualSpacing w:val="0"/>
    </w:pPr>
    <w:rPr>
      <w:b w:val="0"/>
      <w:color w:val="auto"/>
      <w:sz w:val="24"/>
    </w:rPr>
  </w:style>
  <w:style w:type="paragraph" w:customStyle="1" w:styleId="ECHRHeading2">
    <w:name w:val="ECHR_Heading_2"/>
    <w:aliases w:val="Ju_H_A"/>
    <w:basedOn w:val="Titolo2"/>
    <w:next w:val="ECHRPara"/>
    <w:uiPriority w:val="20"/>
    <w:qFormat/>
    <w:rsid w:val="007877AC"/>
    <w:pPr>
      <w:keepNext/>
      <w:keepLines/>
      <w:tabs>
        <w:tab w:val="left" w:pos="584"/>
      </w:tabs>
      <w:spacing w:before="360" w:after="240"/>
      <w:ind w:left="584" w:hanging="352"/>
    </w:pPr>
    <w:rPr>
      <w:color w:val="auto"/>
      <w:sz w:val="24"/>
    </w:rPr>
  </w:style>
  <w:style w:type="character" w:customStyle="1" w:styleId="Titolo2Carattere">
    <w:name w:val="Titolo 2 Carattere"/>
    <w:basedOn w:val="Carpredefinitoparagrafo"/>
    <w:link w:val="Titolo2"/>
    <w:uiPriority w:val="99"/>
    <w:semiHidden/>
    <w:rsid w:val="007877AC"/>
    <w:rPr>
      <w:rFonts w:asciiTheme="majorHAnsi" w:eastAsiaTheme="majorEastAsia" w:hAnsiTheme="majorHAnsi" w:cstheme="majorBidi"/>
      <w:b/>
      <w:bCs/>
      <w:color w:val="4D4D4D"/>
      <w:sz w:val="26"/>
      <w:szCs w:val="26"/>
    </w:rPr>
  </w:style>
  <w:style w:type="paragraph" w:customStyle="1" w:styleId="JuQuotSub">
    <w:name w:val="Ju_Quot_Sub"/>
    <w:basedOn w:val="ECHRParaQuote"/>
    <w:uiPriority w:val="15"/>
    <w:qFormat/>
    <w:rsid w:val="007877AC"/>
    <w:pPr>
      <w:ind w:left="567"/>
    </w:pPr>
  </w:style>
  <w:style w:type="paragraph" w:customStyle="1" w:styleId="ECHRDecisionBody">
    <w:name w:val="ECHR_Decision_Body"/>
    <w:aliases w:val="Ju_Judges"/>
    <w:basedOn w:val="Normale"/>
    <w:uiPriority w:val="11"/>
    <w:qFormat/>
    <w:rsid w:val="007877AC"/>
    <w:pPr>
      <w:tabs>
        <w:tab w:val="left" w:pos="567"/>
        <w:tab w:val="left" w:pos="1134"/>
      </w:tabs>
      <w:jc w:val="left"/>
    </w:pPr>
  </w:style>
  <w:style w:type="character" w:customStyle="1" w:styleId="Titolo3Carattere">
    <w:name w:val="Titolo 3 Carattere"/>
    <w:basedOn w:val="Carpredefinitoparagrafo"/>
    <w:link w:val="Titolo3"/>
    <w:uiPriority w:val="99"/>
    <w:semiHidden/>
    <w:rsid w:val="007877AC"/>
    <w:rPr>
      <w:rFonts w:asciiTheme="majorHAnsi" w:eastAsiaTheme="majorEastAsia" w:hAnsiTheme="majorHAnsi" w:cstheme="majorBidi"/>
      <w:b/>
      <w:bCs/>
      <w:color w:val="5F5F5F"/>
      <w:sz w:val="24"/>
    </w:rPr>
  </w:style>
  <w:style w:type="paragraph" w:customStyle="1" w:styleId="ECHRPara">
    <w:name w:val="ECHR_Para"/>
    <w:aliases w:val="Ju_Para"/>
    <w:basedOn w:val="Normale"/>
    <w:link w:val="JuParaCar"/>
    <w:uiPriority w:val="12"/>
    <w:qFormat/>
    <w:rsid w:val="007877AC"/>
    <w:pPr>
      <w:ind w:firstLine="284"/>
    </w:pPr>
  </w:style>
  <w:style w:type="character" w:customStyle="1" w:styleId="Titolo4Carattere">
    <w:name w:val="Titolo 4 Carattere"/>
    <w:basedOn w:val="Carpredefinitoparagrafo"/>
    <w:link w:val="Titolo4"/>
    <w:uiPriority w:val="99"/>
    <w:semiHidden/>
    <w:rsid w:val="007877AC"/>
    <w:rPr>
      <w:rFonts w:asciiTheme="majorHAnsi" w:eastAsiaTheme="majorEastAsia" w:hAnsiTheme="majorHAnsi" w:cstheme="majorBidi"/>
      <w:b/>
      <w:bCs/>
      <w:i/>
      <w:iCs/>
      <w:color w:val="777777"/>
      <w:sz w:val="24"/>
    </w:rPr>
  </w:style>
  <w:style w:type="character" w:customStyle="1" w:styleId="Titolo5Carattere">
    <w:name w:val="Titolo 5 Carattere"/>
    <w:basedOn w:val="Carpredefinitoparagrafo"/>
    <w:link w:val="Titolo5"/>
    <w:uiPriority w:val="99"/>
    <w:semiHidden/>
    <w:rsid w:val="007877AC"/>
    <w:rPr>
      <w:rFonts w:asciiTheme="majorHAnsi" w:eastAsiaTheme="majorEastAsia" w:hAnsiTheme="majorHAnsi" w:cstheme="majorBidi"/>
      <w:b/>
      <w:bCs/>
      <w:color w:val="808080"/>
    </w:rPr>
  </w:style>
  <w:style w:type="character" w:styleId="Enfasidelicata">
    <w:name w:val="Subtle Emphasis"/>
    <w:uiPriority w:val="99"/>
    <w:semiHidden/>
    <w:qFormat/>
    <w:rsid w:val="007877AC"/>
    <w:rPr>
      <w:i/>
      <w:iCs/>
    </w:rPr>
  </w:style>
  <w:style w:type="table" w:customStyle="1" w:styleId="ECHRTable">
    <w:name w:val="ECHR_Table"/>
    <w:basedOn w:val="Tabellanormale"/>
    <w:rsid w:val="00860B03"/>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ellanormale"/>
    <w:rsid w:val="004C086C"/>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paragraph" w:customStyle="1" w:styleId="ECHRTitle1">
    <w:name w:val="ECHR_Title_1"/>
    <w:aliases w:val="Ju_H_Head"/>
    <w:basedOn w:val="Normale"/>
    <w:next w:val="ECHRPara"/>
    <w:uiPriority w:val="18"/>
    <w:qFormat/>
    <w:rsid w:val="007877AC"/>
    <w:pPr>
      <w:keepNext/>
      <w:keepLines/>
      <w:spacing w:before="720" w:after="240"/>
      <w:outlineLvl w:val="0"/>
    </w:pPr>
    <w:rPr>
      <w:rFonts w:asciiTheme="majorHAnsi" w:hAnsiTheme="majorHAnsi"/>
      <w:sz w:val="28"/>
    </w:rPr>
  </w:style>
  <w:style w:type="character" w:styleId="Enfasicorsivo">
    <w:name w:val="Emphasis"/>
    <w:uiPriority w:val="99"/>
    <w:semiHidden/>
    <w:qFormat/>
    <w:rsid w:val="007877AC"/>
    <w:rPr>
      <w:b/>
      <w:bCs/>
      <w:i/>
      <w:iCs/>
      <w:spacing w:val="10"/>
      <w:bdr w:val="none" w:sz="0" w:space="0" w:color="auto"/>
      <w:shd w:val="clear" w:color="auto" w:fill="auto"/>
    </w:rPr>
  </w:style>
  <w:style w:type="paragraph" w:styleId="Pidipagina">
    <w:name w:val="footer"/>
    <w:basedOn w:val="Normale"/>
    <w:link w:val="PidipaginaCarattere"/>
    <w:uiPriority w:val="57"/>
    <w:semiHidden/>
    <w:rsid w:val="007877AC"/>
    <w:pPr>
      <w:tabs>
        <w:tab w:val="center" w:pos="4536"/>
        <w:tab w:val="right" w:pos="9696"/>
      </w:tabs>
      <w:ind w:left="-680" w:right="-680"/>
    </w:pPr>
    <w:rPr>
      <w:rFonts w:eastAsiaTheme="minorHAnsi"/>
    </w:rPr>
  </w:style>
  <w:style w:type="character" w:customStyle="1" w:styleId="PidipaginaCarattere">
    <w:name w:val="Piè di pagina Carattere"/>
    <w:basedOn w:val="Carpredefinitoparagrafo"/>
    <w:link w:val="Pidipagina"/>
    <w:uiPriority w:val="57"/>
    <w:semiHidden/>
    <w:rsid w:val="007877AC"/>
    <w:rPr>
      <w:sz w:val="24"/>
    </w:rPr>
  </w:style>
  <w:style w:type="character" w:styleId="Rimandonotaapidipagina">
    <w:name w:val="footnote reference"/>
    <w:basedOn w:val="Carpredefinitoparagrafo"/>
    <w:uiPriority w:val="99"/>
    <w:semiHidden/>
    <w:rsid w:val="007877AC"/>
    <w:rPr>
      <w:vertAlign w:val="superscript"/>
    </w:rPr>
  </w:style>
  <w:style w:type="paragraph" w:styleId="Testonotaapidipagina">
    <w:name w:val="footnote text"/>
    <w:basedOn w:val="Normale"/>
    <w:link w:val="TestonotaapidipaginaCarattere"/>
    <w:uiPriority w:val="99"/>
    <w:semiHidden/>
    <w:rsid w:val="007877AC"/>
    <w:rPr>
      <w:sz w:val="20"/>
      <w:szCs w:val="20"/>
    </w:rPr>
  </w:style>
  <w:style w:type="character" w:customStyle="1" w:styleId="TestonotaapidipaginaCarattere">
    <w:name w:val="Testo nota a piè di pagina Carattere"/>
    <w:basedOn w:val="Carpredefinitoparagrafo"/>
    <w:link w:val="Testonotaapidipagina"/>
    <w:uiPriority w:val="99"/>
    <w:semiHidden/>
    <w:rsid w:val="007877AC"/>
    <w:rPr>
      <w:rFonts w:eastAsiaTheme="minorEastAsia"/>
      <w:sz w:val="20"/>
      <w:szCs w:val="20"/>
    </w:rPr>
  </w:style>
  <w:style w:type="character" w:customStyle="1" w:styleId="Titolo6Carattere">
    <w:name w:val="Titolo 6 Carattere"/>
    <w:basedOn w:val="Carpredefinitoparagrafo"/>
    <w:link w:val="Titolo6"/>
    <w:uiPriority w:val="99"/>
    <w:semiHidden/>
    <w:rsid w:val="007877AC"/>
    <w:rPr>
      <w:rFonts w:asciiTheme="majorHAnsi" w:eastAsiaTheme="majorEastAsia" w:hAnsiTheme="majorHAnsi" w:cstheme="majorBidi"/>
      <w:b/>
      <w:bCs/>
      <w:i/>
      <w:iCs/>
      <w:color w:val="7F7F7F" w:themeColor="text1" w:themeTint="80"/>
      <w:sz w:val="24"/>
      <w:lang w:bidi="en-US"/>
    </w:rPr>
  </w:style>
  <w:style w:type="character" w:customStyle="1" w:styleId="Titolo7Carattere">
    <w:name w:val="Titolo 7 Carattere"/>
    <w:basedOn w:val="Carpredefinitoparagrafo"/>
    <w:link w:val="Titolo7"/>
    <w:uiPriority w:val="99"/>
    <w:semiHidden/>
    <w:rsid w:val="007877AC"/>
    <w:rPr>
      <w:rFonts w:asciiTheme="majorHAnsi" w:eastAsiaTheme="majorEastAsia" w:hAnsiTheme="majorHAnsi" w:cstheme="majorBidi"/>
      <w:i/>
      <w:iCs/>
      <w:lang w:bidi="en-US"/>
    </w:rPr>
  </w:style>
  <w:style w:type="character" w:customStyle="1" w:styleId="Titolo8Carattere">
    <w:name w:val="Titolo 8 Carattere"/>
    <w:basedOn w:val="Carpredefinitoparagrafo"/>
    <w:link w:val="Titolo8"/>
    <w:uiPriority w:val="99"/>
    <w:semiHidden/>
    <w:rsid w:val="007877AC"/>
    <w:rPr>
      <w:rFonts w:asciiTheme="majorHAnsi" w:eastAsiaTheme="majorEastAsia" w:hAnsiTheme="majorHAnsi" w:cstheme="majorBidi"/>
      <w:sz w:val="20"/>
      <w:szCs w:val="20"/>
      <w:lang w:bidi="en-US"/>
    </w:rPr>
  </w:style>
  <w:style w:type="character" w:customStyle="1" w:styleId="Titolo9Carattere">
    <w:name w:val="Titolo 9 Carattere"/>
    <w:basedOn w:val="Carpredefinitoparagrafo"/>
    <w:link w:val="Titolo9"/>
    <w:uiPriority w:val="99"/>
    <w:semiHidden/>
    <w:rsid w:val="007877AC"/>
    <w:rPr>
      <w:rFonts w:asciiTheme="majorHAnsi" w:eastAsiaTheme="majorEastAsia" w:hAnsiTheme="majorHAnsi" w:cstheme="majorBidi"/>
      <w:i/>
      <w:iCs/>
      <w:spacing w:val="5"/>
      <w:sz w:val="20"/>
      <w:szCs w:val="20"/>
      <w:lang w:bidi="en-US"/>
    </w:rPr>
  </w:style>
  <w:style w:type="character" w:styleId="Collegamentoipertestuale">
    <w:name w:val="Hyperlink"/>
    <w:basedOn w:val="Carpredefinitoparagrafo"/>
    <w:uiPriority w:val="99"/>
    <w:semiHidden/>
    <w:rsid w:val="007877AC"/>
    <w:rPr>
      <w:color w:val="0072BC" w:themeColor="hyperlink"/>
      <w:u w:val="single"/>
    </w:rPr>
  </w:style>
  <w:style w:type="character" w:styleId="Enfasiintensa">
    <w:name w:val="Intense Emphasis"/>
    <w:uiPriority w:val="99"/>
    <w:semiHidden/>
    <w:qFormat/>
    <w:rsid w:val="007877AC"/>
    <w:rPr>
      <w:b/>
      <w:bCs/>
    </w:rPr>
  </w:style>
  <w:style w:type="paragraph" w:styleId="Citazioneintensa">
    <w:name w:val="Intense Quote"/>
    <w:basedOn w:val="Normale"/>
    <w:next w:val="Normale"/>
    <w:link w:val="CitazioneintensaCarattere"/>
    <w:uiPriority w:val="99"/>
    <w:semiHidden/>
    <w:qFormat/>
    <w:rsid w:val="007877AC"/>
    <w:pPr>
      <w:pBdr>
        <w:bottom w:val="single" w:sz="4" w:space="1" w:color="auto"/>
      </w:pBdr>
      <w:spacing w:before="200" w:after="280"/>
      <w:ind w:left="1008" w:right="1152"/>
    </w:pPr>
    <w:rPr>
      <w:b/>
      <w:bCs/>
      <w:i/>
      <w:iCs/>
      <w:sz w:val="22"/>
      <w:lang w:bidi="en-US"/>
    </w:rPr>
  </w:style>
  <w:style w:type="character" w:customStyle="1" w:styleId="CitazioneintensaCarattere">
    <w:name w:val="Citazione intensa Carattere"/>
    <w:basedOn w:val="Carpredefinitoparagrafo"/>
    <w:link w:val="Citazioneintensa"/>
    <w:uiPriority w:val="99"/>
    <w:semiHidden/>
    <w:rsid w:val="007877AC"/>
    <w:rPr>
      <w:rFonts w:eastAsiaTheme="minorEastAsia"/>
      <w:b/>
      <w:bCs/>
      <w:i/>
      <w:iCs/>
      <w:lang w:bidi="en-US"/>
    </w:rPr>
  </w:style>
  <w:style w:type="character" w:styleId="Riferimentointenso">
    <w:name w:val="Intense Reference"/>
    <w:uiPriority w:val="99"/>
    <w:semiHidden/>
    <w:qFormat/>
    <w:rsid w:val="007877AC"/>
    <w:rPr>
      <w:smallCaps/>
      <w:spacing w:val="5"/>
      <w:u w:val="single"/>
    </w:rPr>
  </w:style>
  <w:style w:type="paragraph" w:styleId="Paragrafoelenco">
    <w:name w:val="List Paragraph"/>
    <w:basedOn w:val="Normale"/>
    <w:uiPriority w:val="99"/>
    <w:semiHidden/>
    <w:qFormat/>
    <w:rsid w:val="007877AC"/>
    <w:pPr>
      <w:ind w:left="720"/>
      <w:contextualSpacing/>
    </w:pPr>
  </w:style>
  <w:style w:type="table" w:customStyle="1" w:styleId="LtrTableAddress">
    <w:name w:val="Ltr_Table_Address"/>
    <w:basedOn w:val="Tabellanormale"/>
    <w:uiPriority w:val="99"/>
    <w:rsid w:val="001E6F32"/>
    <w:tblPr>
      <w:tblInd w:w="5103" w:type="dxa"/>
    </w:tblPr>
  </w:style>
  <w:style w:type="paragraph" w:styleId="Citazione">
    <w:name w:val="Quote"/>
    <w:basedOn w:val="Normale"/>
    <w:next w:val="Normale"/>
    <w:link w:val="CitazioneCarattere"/>
    <w:uiPriority w:val="99"/>
    <w:semiHidden/>
    <w:qFormat/>
    <w:rsid w:val="007877AC"/>
    <w:pPr>
      <w:spacing w:before="200"/>
      <w:ind w:left="360" w:right="360"/>
    </w:pPr>
    <w:rPr>
      <w:i/>
      <w:iCs/>
      <w:sz w:val="22"/>
      <w:lang w:bidi="en-US"/>
    </w:rPr>
  </w:style>
  <w:style w:type="character" w:customStyle="1" w:styleId="CitazioneCarattere">
    <w:name w:val="Citazione Carattere"/>
    <w:basedOn w:val="Carpredefinitoparagrafo"/>
    <w:link w:val="Citazione"/>
    <w:uiPriority w:val="99"/>
    <w:semiHidden/>
    <w:rsid w:val="007877AC"/>
    <w:rPr>
      <w:rFonts w:eastAsiaTheme="minorEastAsia"/>
      <w:i/>
      <w:iCs/>
      <w:lang w:bidi="en-US"/>
    </w:rPr>
  </w:style>
  <w:style w:type="character" w:styleId="Riferimentodelicato">
    <w:name w:val="Subtle Reference"/>
    <w:uiPriority w:val="99"/>
    <w:semiHidden/>
    <w:qFormat/>
    <w:rsid w:val="007877AC"/>
    <w:rPr>
      <w:smallCaps/>
    </w:rPr>
  </w:style>
  <w:style w:type="table" w:styleId="Grigliatabella">
    <w:name w:val="Table Grid"/>
    <w:basedOn w:val="Tabellanormale"/>
    <w:uiPriority w:val="59"/>
    <w:semiHidden/>
    <w:rsid w:val="007877AC"/>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mmario1">
    <w:name w:val="toc 1"/>
    <w:basedOn w:val="Normale"/>
    <w:next w:val="Normale"/>
    <w:autoRedefine/>
    <w:uiPriority w:val="99"/>
    <w:semiHidden/>
    <w:rsid w:val="007877AC"/>
    <w:pPr>
      <w:keepNext/>
      <w:tabs>
        <w:tab w:val="right" w:leader="dot" w:pos="7371"/>
      </w:tabs>
      <w:spacing w:before="160" w:after="60" w:line="240" w:lineRule="exact"/>
      <w:ind w:left="340" w:right="567" w:hanging="340"/>
    </w:pPr>
    <w:rPr>
      <w:b/>
      <w:sz w:val="22"/>
    </w:rPr>
  </w:style>
  <w:style w:type="paragraph" w:styleId="Sommario2">
    <w:name w:val="toc 2"/>
    <w:basedOn w:val="Normale"/>
    <w:next w:val="Normale"/>
    <w:autoRedefine/>
    <w:uiPriority w:val="99"/>
    <w:semiHidden/>
    <w:rsid w:val="007877AC"/>
    <w:pPr>
      <w:keepNext/>
      <w:tabs>
        <w:tab w:val="right" w:leader="dot" w:pos="7371"/>
      </w:tabs>
      <w:spacing w:after="60" w:line="240" w:lineRule="exact"/>
      <w:ind w:left="680" w:right="567" w:hanging="340"/>
    </w:pPr>
    <w:rPr>
      <w:sz w:val="22"/>
    </w:rPr>
  </w:style>
  <w:style w:type="paragraph" w:styleId="Sommario3">
    <w:name w:val="toc 3"/>
    <w:basedOn w:val="Normale"/>
    <w:next w:val="Normale"/>
    <w:autoRedefine/>
    <w:uiPriority w:val="99"/>
    <w:semiHidden/>
    <w:rsid w:val="007877AC"/>
    <w:pPr>
      <w:keepNext/>
      <w:tabs>
        <w:tab w:val="right" w:leader="dot" w:pos="7371"/>
      </w:tabs>
      <w:spacing w:after="60" w:line="240" w:lineRule="exact"/>
      <w:ind w:left="1020" w:right="567" w:hanging="340"/>
    </w:pPr>
    <w:rPr>
      <w:sz w:val="20"/>
    </w:rPr>
  </w:style>
  <w:style w:type="paragraph" w:styleId="Sommario4">
    <w:name w:val="toc 4"/>
    <w:basedOn w:val="Normale"/>
    <w:next w:val="Normale"/>
    <w:autoRedefine/>
    <w:uiPriority w:val="99"/>
    <w:semiHidden/>
    <w:rsid w:val="007877AC"/>
    <w:pPr>
      <w:tabs>
        <w:tab w:val="right" w:leader="dot" w:pos="7371"/>
      </w:tabs>
      <w:spacing w:after="60" w:line="240" w:lineRule="exact"/>
      <w:ind w:left="1361" w:right="567" w:hanging="340"/>
    </w:pPr>
    <w:rPr>
      <w:sz w:val="20"/>
    </w:rPr>
  </w:style>
  <w:style w:type="paragraph" w:styleId="Sommario5">
    <w:name w:val="toc 5"/>
    <w:basedOn w:val="Normale"/>
    <w:next w:val="Normale"/>
    <w:autoRedefine/>
    <w:uiPriority w:val="99"/>
    <w:semiHidden/>
    <w:rsid w:val="007877AC"/>
    <w:pPr>
      <w:tabs>
        <w:tab w:val="right" w:leader="dot" w:pos="7371"/>
      </w:tabs>
      <w:spacing w:after="60" w:line="240" w:lineRule="exact"/>
      <w:ind w:left="1701" w:right="567" w:hanging="340"/>
    </w:pPr>
    <w:rPr>
      <w:sz w:val="20"/>
    </w:rPr>
  </w:style>
  <w:style w:type="paragraph" w:styleId="Titolosommario">
    <w:name w:val="TOC Heading"/>
    <w:basedOn w:val="Normale"/>
    <w:next w:val="Normale"/>
    <w:uiPriority w:val="99"/>
    <w:semiHidden/>
    <w:qFormat/>
    <w:rsid w:val="007877AC"/>
    <w:pPr>
      <w:keepNext/>
      <w:keepLines/>
      <w:spacing w:before="240"/>
      <w:contextualSpacing/>
      <w:jc w:val="center"/>
    </w:pPr>
    <w:rPr>
      <w:rFonts w:asciiTheme="majorHAnsi" w:eastAsiaTheme="minorHAnsi" w:hAnsiTheme="majorHAnsi"/>
      <w:b/>
      <w:color w:val="474747" w:themeColor="accent3" w:themeShade="BF"/>
      <w:sz w:val="28"/>
    </w:rPr>
  </w:style>
  <w:style w:type="table" w:customStyle="1" w:styleId="UGTable">
    <w:name w:val="UG_Table"/>
    <w:basedOn w:val="Tabellanormale"/>
    <w:uiPriority w:val="99"/>
    <w:rsid w:val="00801300"/>
    <w:rPr>
      <w:rFonts w:eastAsiaTheme="minorEastAsia"/>
      <w:sz w:val="20"/>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basedOn w:val="Tabellanormale"/>
    <w:uiPriority w:val="99"/>
    <w:rsid w:val="00801300"/>
    <w:rPr>
      <w:rFonts w:eastAsiaTheme="minorEastAsia"/>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basedOn w:val="Tabellanormale"/>
    <w:uiPriority w:val="99"/>
    <w:rsid w:val="00810B38"/>
    <w:rPr>
      <w:color w:val="000000" w:themeColor="text1"/>
      <w:sz w:val="18"/>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ellanormale"/>
    <w:uiPriority w:val="99"/>
    <w:rsid w:val="00893576"/>
    <w:rPr>
      <w:color w:val="000000" w:themeColor="text1"/>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ellanormale"/>
    <w:uiPriority w:val="99"/>
    <w:rsid w:val="00210338"/>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aliases w:val="DN_Table"/>
    <w:basedOn w:val="Tabellanormale"/>
    <w:uiPriority w:val="99"/>
    <w:rsid w:val="0090506B"/>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itoloindicefonti">
    <w:name w:val="toa heading"/>
    <w:basedOn w:val="Normale"/>
    <w:next w:val="Normale"/>
    <w:uiPriority w:val="99"/>
    <w:semiHidden/>
    <w:rsid w:val="007877AC"/>
    <w:pPr>
      <w:keepNext/>
      <w:keepLines/>
      <w:spacing w:before="240"/>
      <w:contextualSpacing/>
      <w:jc w:val="center"/>
    </w:pPr>
    <w:rPr>
      <w:rFonts w:asciiTheme="majorHAnsi" w:eastAsiaTheme="majorEastAsia" w:hAnsiTheme="majorHAnsi" w:cstheme="majorBidi"/>
      <w:b/>
      <w:bCs/>
      <w:color w:val="474747" w:themeColor="accent3" w:themeShade="BF"/>
      <w:sz w:val="28"/>
      <w:szCs w:val="24"/>
    </w:rPr>
  </w:style>
  <w:style w:type="paragraph" w:customStyle="1" w:styleId="ECHRParaQuote">
    <w:name w:val="ECHR_Para_Quote"/>
    <w:aliases w:val="Ju_Quot"/>
    <w:basedOn w:val="Normale"/>
    <w:uiPriority w:val="14"/>
    <w:qFormat/>
    <w:rsid w:val="007877AC"/>
    <w:pPr>
      <w:spacing w:before="120" w:after="120"/>
      <w:ind w:left="425" w:firstLine="142"/>
    </w:pPr>
    <w:rPr>
      <w:sz w:val="20"/>
    </w:rPr>
  </w:style>
  <w:style w:type="table" w:customStyle="1" w:styleId="ECHRTableSimpleBox">
    <w:name w:val="ECHR_Table_Simple_Box"/>
    <w:basedOn w:val="Tabellanormale"/>
    <w:uiPriority w:val="99"/>
    <w:rsid w:val="00AE354C"/>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ellanormale"/>
    <w:uiPriority w:val="99"/>
    <w:rsid w:val="00F218EF"/>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table" w:customStyle="1" w:styleId="ECHRTableForInternalUse">
    <w:name w:val="ECHR_Table_For_Internal_Use"/>
    <w:basedOn w:val="Tabellanormale"/>
    <w:uiPriority w:val="99"/>
    <w:rsid w:val="005474E7"/>
    <w:rPr>
      <w:color w:val="636363" w:themeColor="text2" w:themeShade="80"/>
      <w:sz w:val="18"/>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ellanormale"/>
    <w:uiPriority w:val="99"/>
    <w:rsid w:val="007877AC"/>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table" w:customStyle="1" w:styleId="ECHRHeaderTable">
    <w:name w:val="ECHR_Header_Table"/>
    <w:basedOn w:val="Tabellanormale"/>
    <w:uiPriority w:val="99"/>
    <w:rsid w:val="00661971"/>
    <w:tblPr>
      <w:tblInd w:w="-680"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table" w:customStyle="1" w:styleId="ECHRTableOddBanded">
    <w:name w:val="ECHR_Table_Odd_Banded"/>
    <w:basedOn w:val="Tabellanormale"/>
    <w:uiPriority w:val="99"/>
    <w:rsid w:val="00860B03"/>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table" w:customStyle="1" w:styleId="ECHRHeaderTableReduced">
    <w:name w:val="ECHR_Header_Table_Reduced"/>
    <w:basedOn w:val="Tabellanormale"/>
    <w:uiPriority w:val="99"/>
    <w:rsid w:val="00B52BE0"/>
    <w:tblPr>
      <w:tblInd w:w="-680" w:type="dxa"/>
      <w:tblCellMar>
        <w:left w:w="0" w:type="dxa"/>
        <w:right w:w="0" w:type="dxa"/>
      </w:tblCellMar>
    </w:tblPr>
    <w:tcPr>
      <w:vAlign w:val="bottom"/>
    </w:tcPr>
    <w:tblStylePr w:type="firstRow">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paragraph" w:customStyle="1" w:styleId="JuSigned">
    <w:name w:val="Ju_Signed"/>
    <w:basedOn w:val="Normale"/>
    <w:next w:val="JuParaLast"/>
    <w:uiPriority w:val="32"/>
    <w:qFormat/>
    <w:rsid w:val="007877AC"/>
    <w:pPr>
      <w:tabs>
        <w:tab w:val="center" w:pos="851"/>
        <w:tab w:val="center" w:pos="6407"/>
      </w:tabs>
      <w:spacing w:before="720"/>
      <w:jc w:val="left"/>
    </w:pPr>
  </w:style>
  <w:style w:type="paragraph" w:customStyle="1" w:styleId="JuParaLast">
    <w:name w:val="Ju_Para_Last"/>
    <w:basedOn w:val="Normale"/>
    <w:next w:val="ECHRPara"/>
    <w:uiPriority w:val="30"/>
    <w:qFormat/>
    <w:rsid w:val="007877AC"/>
    <w:pPr>
      <w:keepNext/>
      <w:keepLines/>
      <w:spacing w:before="240"/>
      <w:ind w:firstLine="284"/>
    </w:pPr>
  </w:style>
  <w:style w:type="paragraph" w:customStyle="1" w:styleId="JuCase">
    <w:name w:val="Ju_Case"/>
    <w:basedOn w:val="Normale"/>
    <w:next w:val="ECHRPara"/>
    <w:uiPriority w:val="10"/>
    <w:rsid w:val="007877AC"/>
    <w:pPr>
      <w:ind w:firstLine="284"/>
    </w:pPr>
    <w:rPr>
      <w:b/>
    </w:rPr>
  </w:style>
  <w:style w:type="paragraph" w:customStyle="1" w:styleId="JuList">
    <w:name w:val="Ju_List"/>
    <w:basedOn w:val="Normale"/>
    <w:uiPriority w:val="28"/>
    <w:qFormat/>
    <w:rsid w:val="007877AC"/>
    <w:pPr>
      <w:ind w:left="340" w:hanging="340"/>
    </w:pPr>
  </w:style>
  <w:style w:type="paragraph" w:customStyle="1" w:styleId="JuTitle">
    <w:name w:val="Ju_Title"/>
    <w:basedOn w:val="Normale"/>
    <w:next w:val="ECHRPara"/>
    <w:uiPriority w:val="3"/>
    <w:semiHidden/>
    <w:qFormat/>
    <w:rsid w:val="007877AC"/>
    <w:pPr>
      <w:spacing w:before="720" w:after="240"/>
      <w:jc w:val="center"/>
      <w:outlineLvl w:val="0"/>
    </w:pPr>
    <w:rPr>
      <w:rFonts w:asciiTheme="majorHAnsi" w:hAnsiTheme="majorHAnsi"/>
      <w:b/>
      <w:caps/>
    </w:rPr>
  </w:style>
  <w:style w:type="character" w:styleId="Numeropagina">
    <w:name w:val="page number"/>
    <w:uiPriority w:val="99"/>
    <w:semiHidden/>
    <w:rsid w:val="00E77CB3"/>
    <w:rPr>
      <w:rFonts w:ascii="Times New Roman" w:hAnsi="Times New Roman" w:cs="Times New Roman"/>
      <w:sz w:val="18"/>
    </w:rPr>
  </w:style>
  <w:style w:type="paragraph" w:customStyle="1" w:styleId="JuLista">
    <w:name w:val="Ju_List_a"/>
    <w:basedOn w:val="JuList"/>
    <w:uiPriority w:val="28"/>
    <w:qFormat/>
    <w:rsid w:val="007877AC"/>
    <w:pPr>
      <w:ind w:left="346" w:firstLine="0"/>
    </w:pPr>
  </w:style>
  <w:style w:type="paragraph" w:customStyle="1" w:styleId="JuListi">
    <w:name w:val="Ju_List_i"/>
    <w:basedOn w:val="Normale"/>
    <w:next w:val="JuLista"/>
    <w:uiPriority w:val="28"/>
    <w:qFormat/>
    <w:rsid w:val="007877AC"/>
    <w:pPr>
      <w:ind w:left="794"/>
    </w:pPr>
  </w:style>
  <w:style w:type="character" w:styleId="Rimandocommento">
    <w:name w:val="annotation reference"/>
    <w:uiPriority w:val="99"/>
    <w:semiHidden/>
    <w:rsid w:val="00E77CB3"/>
    <w:rPr>
      <w:sz w:val="16"/>
    </w:rPr>
  </w:style>
  <w:style w:type="paragraph" w:styleId="Testocommento">
    <w:name w:val="annotation text"/>
    <w:basedOn w:val="Normale"/>
    <w:link w:val="TestocommentoCarattere"/>
    <w:uiPriority w:val="99"/>
    <w:semiHidden/>
    <w:rsid w:val="00E77CB3"/>
    <w:rPr>
      <w:sz w:val="20"/>
    </w:rPr>
  </w:style>
  <w:style w:type="character" w:customStyle="1" w:styleId="TestocommentoCarattere">
    <w:name w:val="Testo commento Carattere"/>
    <w:basedOn w:val="Carpredefinitoparagrafo"/>
    <w:link w:val="Testocommento"/>
    <w:uiPriority w:val="99"/>
    <w:semiHidden/>
    <w:rsid w:val="00E77CB3"/>
    <w:rPr>
      <w:rFonts w:eastAsiaTheme="minorEastAsia"/>
      <w:sz w:val="20"/>
    </w:rPr>
  </w:style>
  <w:style w:type="character" w:styleId="Rimandonotadichiusura">
    <w:name w:val="endnote reference"/>
    <w:uiPriority w:val="99"/>
    <w:semiHidden/>
    <w:rsid w:val="00E77CB3"/>
    <w:rPr>
      <w:rFonts w:ascii="Times New Roman" w:hAnsi="Times New Roman" w:cs="Times New Roman"/>
      <w:vertAlign w:val="superscript"/>
    </w:rPr>
  </w:style>
  <w:style w:type="paragraph" w:styleId="Testonotadichiusura">
    <w:name w:val="endnote text"/>
    <w:basedOn w:val="Normale"/>
    <w:link w:val="TestonotadichiusuraCarattere"/>
    <w:uiPriority w:val="99"/>
    <w:semiHidden/>
    <w:rsid w:val="00E77CB3"/>
    <w:rPr>
      <w:sz w:val="20"/>
    </w:rPr>
  </w:style>
  <w:style w:type="character" w:customStyle="1" w:styleId="TestonotadichiusuraCarattere">
    <w:name w:val="Testo nota di chiusura Carattere"/>
    <w:basedOn w:val="Carpredefinitoparagrafo"/>
    <w:link w:val="Testonotadichiusura"/>
    <w:uiPriority w:val="99"/>
    <w:semiHidden/>
    <w:rsid w:val="00E77CB3"/>
    <w:rPr>
      <w:rFonts w:eastAsiaTheme="minorEastAsia"/>
      <w:sz w:val="20"/>
    </w:rPr>
  </w:style>
  <w:style w:type="character" w:styleId="Collegamentovisitato">
    <w:name w:val="FollowedHyperlink"/>
    <w:uiPriority w:val="99"/>
    <w:semiHidden/>
    <w:rsid w:val="00E77CB3"/>
    <w:rPr>
      <w:rFonts w:ascii="Times New Roman" w:hAnsi="Times New Roman" w:cs="Times New Roman"/>
      <w:color w:val="800080"/>
      <w:u w:val="single"/>
    </w:rPr>
  </w:style>
  <w:style w:type="paragraph" w:styleId="Puntoelenco">
    <w:name w:val="List Bullet"/>
    <w:basedOn w:val="Normale"/>
    <w:uiPriority w:val="99"/>
    <w:semiHidden/>
    <w:rsid w:val="00E77CB3"/>
    <w:pPr>
      <w:numPr>
        <w:numId w:val="1"/>
      </w:numPr>
    </w:pPr>
  </w:style>
  <w:style w:type="paragraph" w:customStyle="1" w:styleId="OpiH1">
    <w:name w:val="Opi_H_1"/>
    <w:basedOn w:val="ECHRHeading2"/>
    <w:uiPriority w:val="42"/>
    <w:qFormat/>
    <w:rsid w:val="007877AC"/>
    <w:pPr>
      <w:ind w:left="635" w:hanging="357"/>
      <w:outlineLvl w:val="2"/>
    </w:pPr>
  </w:style>
  <w:style w:type="paragraph" w:styleId="Soggettocommento">
    <w:name w:val="annotation subject"/>
    <w:basedOn w:val="Testocommento"/>
    <w:next w:val="Testocommento"/>
    <w:link w:val="SoggettocommentoCarattere"/>
    <w:uiPriority w:val="99"/>
    <w:semiHidden/>
    <w:rsid w:val="00E77CB3"/>
    <w:rPr>
      <w:b/>
      <w:bCs/>
    </w:rPr>
  </w:style>
  <w:style w:type="character" w:customStyle="1" w:styleId="SoggettocommentoCarattere">
    <w:name w:val="Soggetto commento Carattere"/>
    <w:basedOn w:val="TestocommentoCarattere"/>
    <w:link w:val="Soggettocommento"/>
    <w:uiPriority w:val="99"/>
    <w:semiHidden/>
    <w:rsid w:val="00E77CB3"/>
    <w:rPr>
      <w:rFonts w:eastAsiaTheme="minorEastAsia"/>
      <w:b/>
      <w:bCs/>
      <w:sz w:val="20"/>
    </w:rPr>
  </w:style>
  <w:style w:type="paragraph" w:styleId="Mappadocumento">
    <w:name w:val="Document Map"/>
    <w:basedOn w:val="Normale"/>
    <w:link w:val="MappadocumentoCarattere"/>
    <w:uiPriority w:val="99"/>
    <w:semiHidden/>
    <w:rsid w:val="00E77CB3"/>
    <w:pPr>
      <w:shd w:val="clear" w:color="auto" w:fill="000080"/>
    </w:pPr>
    <w:rPr>
      <w:rFonts w:ascii="Tahoma" w:hAnsi="Tahoma" w:cs="Tahoma"/>
      <w:sz w:val="20"/>
    </w:rPr>
  </w:style>
  <w:style w:type="character" w:customStyle="1" w:styleId="MappadocumentoCarattere">
    <w:name w:val="Mappa documento Carattere"/>
    <w:basedOn w:val="Carpredefinitoparagrafo"/>
    <w:link w:val="Mappadocumento"/>
    <w:uiPriority w:val="99"/>
    <w:semiHidden/>
    <w:rsid w:val="00E77CB3"/>
    <w:rPr>
      <w:rFonts w:ascii="Tahoma" w:eastAsiaTheme="minorEastAsia" w:hAnsi="Tahoma" w:cs="Tahoma"/>
      <w:sz w:val="20"/>
      <w:shd w:val="clear" w:color="auto" w:fill="000080"/>
    </w:rPr>
  </w:style>
  <w:style w:type="paragraph" w:customStyle="1" w:styleId="OpiHa">
    <w:name w:val="Opi_H_a"/>
    <w:basedOn w:val="ECHRHeading3"/>
    <w:uiPriority w:val="43"/>
    <w:qFormat/>
    <w:rsid w:val="007877AC"/>
    <w:pPr>
      <w:ind w:left="833" w:hanging="357"/>
      <w:outlineLvl w:val="3"/>
    </w:pPr>
    <w:rPr>
      <w:b/>
      <w:i w:val="0"/>
      <w:sz w:val="20"/>
    </w:rPr>
  </w:style>
  <w:style w:type="paragraph" w:styleId="Sottotitolo">
    <w:name w:val="Subtitle"/>
    <w:basedOn w:val="Normale"/>
    <w:next w:val="Normale"/>
    <w:link w:val="SottotitoloCarattere"/>
    <w:uiPriority w:val="99"/>
    <w:semiHidden/>
    <w:qFormat/>
    <w:rsid w:val="007877AC"/>
    <w:pPr>
      <w:spacing w:after="600"/>
    </w:pPr>
    <w:rPr>
      <w:rFonts w:asciiTheme="majorHAnsi" w:eastAsiaTheme="majorEastAsia" w:hAnsiTheme="majorHAnsi" w:cstheme="majorBidi"/>
      <w:i/>
      <w:iCs/>
      <w:spacing w:val="13"/>
      <w:szCs w:val="24"/>
      <w:lang w:bidi="en-US"/>
    </w:rPr>
  </w:style>
  <w:style w:type="character" w:customStyle="1" w:styleId="SottotitoloCarattere">
    <w:name w:val="Sottotitolo Carattere"/>
    <w:basedOn w:val="Carpredefinitoparagrafo"/>
    <w:link w:val="Sottotitolo"/>
    <w:uiPriority w:val="99"/>
    <w:semiHidden/>
    <w:rsid w:val="007877AC"/>
    <w:rPr>
      <w:rFonts w:asciiTheme="majorHAnsi" w:eastAsiaTheme="majorEastAsia" w:hAnsiTheme="majorHAnsi" w:cstheme="majorBidi"/>
      <w:i/>
      <w:iCs/>
      <w:spacing w:val="13"/>
      <w:sz w:val="24"/>
      <w:szCs w:val="24"/>
      <w:lang w:bidi="en-US"/>
    </w:rPr>
  </w:style>
  <w:style w:type="numbering" w:styleId="111111">
    <w:name w:val="Outline List 2"/>
    <w:basedOn w:val="Nessunelenco"/>
    <w:uiPriority w:val="99"/>
    <w:semiHidden/>
    <w:rsid w:val="00E77CB3"/>
    <w:pPr>
      <w:numPr>
        <w:numId w:val="2"/>
      </w:numPr>
    </w:pPr>
  </w:style>
  <w:style w:type="numbering" w:styleId="1ai">
    <w:name w:val="Outline List 1"/>
    <w:basedOn w:val="Nessunelenco"/>
    <w:uiPriority w:val="99"/>
    <w:semiHidden/>
    <w:rsid w:val="00E77CB3"/>
    <w:pPr>
      <w:numPr>
        <w:numId w:val="3"/>
      </w:numPr>
    </w:pPr>
  </w:style>
  <w:style w:type="numbering" w:styleId="ArticoloSezione">
    <w:name w:val="Outline List 3"/>
    <w:basedOn w:val="Nessunelenco"/>
    <w:uiPriority w:val="99"/>
    <w:semiHidden/>
    <w:rsid w:val="00E77CB3"/>
    <w:pPr>
      <w:numPr>
        <w:numId w:val="4"/>
      </w:numPr>
    </w:pPr>
  </w:style>
  <w:style w:type="paragraph" w:styleId="Bibliografia">
    <w:name w:val="Bibliography"/>
    <w:basedOn w:val="Normale"/>
    <w:next w:val="Normale"/>
    <w:uiPriority w:val="99"/>
    <w:semiHidden/>
    <w:unhideWhenUsed/>
    <w:rsid w:val="00E77CB3"/>
  </w:style>
  <w:style w:type="paragraph" w:styleId="Testodelblocco">
    <w:name w:val="Block Text"/>
    <w:basedOn w:val="Normale"/>
    <w:uiPriority w:val="99"/>
    <w:semiHidden/>
    <w:rsid w:val="00E77CB3"/>
    <w:pPr>
      <w:pBdr>
        <w:top w:val="single" w:sz="2" w:space="10" w:color="0072BC" w:themeColor="accent1" w:frame="1"/>
        <w:left w:val="single" w:sz="2" w:space="10" w:color="0072BC" w:themeColor="accent1" w:frame="1"/>
        <w:bottom w:val="single" w:sz="2" w:space="10" w:color="0072BC" w:themeColor="accent1" w:frame="1"/>
        <w:right w:val="single" w:sz="2" w:space="10" w:color="0072BC" w:themeColor="accent1" w:frame="1"/>
      </w:pBdr>
      <w:ind w:left="1152" w:right="1152"/>
    </w:pPr>
    <w:rPr>
      <w:i/>
      <w:iCs/>
      <w:color w:val="0072BC" w:themeColor="accent1"/>
    </w:rPr>
  </w:style>
  <w:style w:type="paragraph" w:styleId="Corpotesto">
    <w:name w:val="Body Text"/>
    <w:basedOn w:val="Normale"/>
    <w:link w:val="CorpotestoCarattere"/>
    <w:uiPriority w:val="99"/>
    <w:semiHidden/>
    <w:rsid w:val="00E77CB3"/>
    <w:pPr>
      <w:spacing w:after="120"/>
    </w:pPr>
  </w:style>
  <w:style w:type="character" w:customStyle="1" w:styleId="CorpotestoCarattere">
    <w:name w:val="Corpo testo Carattere"/>
    <w:basedOn w:val="Carpredefinitoparagrafo"/>
    <w:link w:val="Corpotesto"/>
    <w:uiPriority w:val="99"/>
    <w:semiHidden/>
    <w:rsid w:val="00E77CB3"/>
    <w:rPr>
      <w:rFonts w:eastAsiaTheme="minorEastAsia"/>
      <w:sz w:val="24"/>
    </w:rPr>
  </w:style>
  <w:style w:type="paragraph" w:styleId="Corpodeltesto2">
    <w:name w:val="Body Text 2"/>
    <w:basedOn w:val="Normale"/>
    <w:link w:val="Corpodeltesto2Carattere"/>
    <w:uiPriority w:val="99"/>
    <w:semiHidden/>
    <w:rsid w:val="00E77CB3"/>
    <w:pPr>
      <w:spacing w:after="120" w:line="480" w:lineRule="auto"/>
    </w:pPr>
  </w:style>
  <w:style w:type="character" w:customStyle="1" w:styleId="Corpodeltesto2Carattere">
    <w:name w:val="Corpo del testo 2 Carattere"/>
    <w:basedOn w:val="Carpredefinitoparagrafo"/>
    <w:link w:val="Corpodeltesto2"/>
    <w:uiPriority w:val="99"/>
    <w:semiHidden/>
    <w:rsid w:val="00E77CB3"/>
    <w:rPr>
      <w:rFonts w:eastAsiaTheme="minorEastAsia"/>
      <w:sz w:val="24"/>
    </w:rPr>
  </w:style>
  <w:style w:type="paragraph" w:styleId="Corpodeltesto3">
    <w:name w:val="Body Text 3"/>
    <w:basedOn w:val="Normale"/>
    <w:link w:val="Corpodeltesto3Carattere"/>
    <w:uiPriority w:val="99"/>
    <w:semiHidden/>
    <w:rsid w:val="00E77CB3"/>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E77CB3"/>
    <w:rPr>
      <w:rFonts w:eastAsiaTheme="minorEastAsia"/>
      <w:sz w:val="16"/>
      <w:szCs w:val="16"/>
    </w:rPr>
  </w:style>
  <w:style w:type="paragraph" w:styleId="Primorientrocorpodeltesto">
    <w:name w:val="Body Text First Indent"/>
    <w:basedOn w:val="Corpotesto"/>
    <w:link w:val="PrimorientrocorpodeltestoCarattere"/>
    <w:uiPriority w:val="99"/>
    <w:semiHidden/>
    <w:rsid w:val="00E77CB3"/>
    <w:pPr>
      <w:spacing w:after="0"/>
      <w:ind w:firstLine="360"/>
    </w:pPr>
  </w:style>
  <w:style w:type="character" w:customStyle="1" w:styleId="PrimorientrocorpodeltestoCarattere">
    <w:name w:val="Primo rientro corpo del testo Carattere"/>
    <w:basedOn w:val="CorpotestoCarattere"/>
    <w:link w:val="Primorientrocorpodeltesto"/>
    <w:uiPriority w:val="99"/>
    <w:semiHidden/>
    <w:rsid w:val="00E77CB3"/>
    <w:rPr>
      <w:rFonts w:eastAsiaTheme="minorEastAsia"/>
      <w:sz w:val="24"/>
    </w:rPr>
  </w:style>
  <w:style w:type="paragraph" w:styleId="Rientrocorpodeltesto">
    <w:name w:val="Body Text Indent"/>
    <w:basedOn w:val="Normale"/>
    <w:link w:val="RientrocorpodeltestoCarattere"/>
    <w:uiPriority w:val="99"/>
    <w:semiHidden/>
    <w:rsid w:val="00E77CB3"/>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E77CB3"/>
    <w:rPr>
      <w:rFonts w:eastAsiaTheme="minorEastAsia"/>
      <w:sz w:val="24"/>
    </w:rPr>
  </w:style>
  <w:style w:type="paragraph" w:styleId="Primorientrocorpodeltesto2">
    <w:name w:val="Body Text First Indent 2"/>
    <w:basedOn w:val="Rientrocorpodeltesto"/>
    <w:link w:val="Primorientrocorpodeltesto2Carattere"/>
    <w:uiPriority w:val="99"/>
    <w:semiHidden/>
    <w:rsid w:val="00E77CB3"/>
    <w:pPr>
      <w:spacing w:after="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E77CB3"/>
    <w:rPr>
      <w:rFonts w:eastAsiaTheme="minorEastAsia"/>
      <w:sz w:val="24"/>
    </w:rPr>
  </w:style>
  <w:style w:type="paragraph" w:styleId="Rientrocorpodeltesto2">
    <w:name w:val="Body Text Indent 2"/>
    <w:basedOn w:val="Normale"/>
    <w:link w:val="Rientrocorpodeltesto2Carattere"/>
    <w:uiPriority w:val="99"/>
    <w:semiHidden/>
    <w:rsid w:val="00E77CB3"/>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E77CB3"/>
    <w:rPr>
      <w:rFonts w:eastAsiaTheme="minorEastAsia"/>
      <w:sz w:val="24"/>
    </w:rPr>
  </w:style>
  <w:style w:type="paragraph" w:styleId="Rientrocorpodeltesto3">
    <w:name w:val="Body Text Indent 3"/>
    <w:basedOn w:val="Normale"/>
    <w:link w:val="Rientrocorpodeltesto3Carattere"/>
    <w:uiPriority w:val="99"/>
    <w:semiHidden/>
    <w:rsid w:val="00E77CB3"/>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E77CB3"/>
    <w:rPr>
      <w:rFonts w:eastAsiaTheme="minorEastAsia"/>
      <w:sz w:val="16"/>
      <w:szCs w:val="16"/>
    </w:rPr>
  </w:style>
  <w:style w:type="paragraph" w:styleId="Didascalia">
    <w:name w:val="caption"/>
    <w:basedOn w:val="Normale"/>
    <w:next w:val="Normale"/>
    <w:uiPriority w:val="99"/>
    <w:semiHidden/>
    <w:qFormat/>
    <w:rsid w:val="00E77CB3"/>
    <w:pPr>
      <w:spacing w:after="200"/>
    </w:pPr>
    <w:rPr>
      <w:b/>
      <w:bCs/>
      <w:color w:val="0072BC" w:themeColor="accent1"/>
      <w:sz w:val="18"/>
      <w:szCs w:val="18"/>
    </w:rPr>
  </w:style>
  <w:style w:type="paragraph" w:styleId="Formuladichiusura">
    <w:name w:val="Closing"/>
    <w:basedOn w:val="Normale"/>
    <w:link w:val="FormuladichiusuraCarattere"/>
    <w:uiPriority w:val="99"/>
    <w:semiHidden/>
    <w:rsid w:val="00E77CB3"/>
    <w:pPr>
      <w:ind w:left="4252"/>
    </w:pPr>
  </w:style>
  <w:style w:type="character" w:customStyle="1" w:styleId="FormuladichiusuraCarattere">
    <w:name w:val="Formula di chiusura Carattere"/>
    <w:basedOn w:val="Carpredefinitoparagrafo"/>
    <w:link w:val="Formuladichiusura"/>
    <w:uiPriority w:val="99"/>
    <w:semiHidden/>
    <w:rsid w:val="00E77CB3"/>
    <w:rPr>
      <w:rFonts w:eastAsiaTheme="minorEastAsia"/>
      <w:sz w:val="24"/>
    </w:rPr>
  </w:style>
  <w:style w:type="table" w:styleId="Grigliaacolori">
    <w:name w:val="Colorful Grid"/>
    <w:basedOn w:val="Tabellanormale"/>
    <w:uiPriority w:val="99"/>
    <w:semiHidden/>
    <w:rsid w:val="00E77CB3"/>
    <w:rPr>
      <w:color w:val="000000" w:themeColor="text1"/>
      <w:lang w:val="fr-FR" w:eastAsia="fr-FR"/>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acolori-Colore1">
    <w:name w:val="Colorful Grid Accent 1"/>
    <w:basedOn w:val="Tabellanormale"/>
    <w:uiPriority w:val="99"/>
    <w:semiHidden/>
    <w:rsid w:val="00E77CB3"/>
    <w:rPr>
      <w:color w:val="000000" w:themeColor="text1"/>
      <w:lang w:val="fr-FR" w:eastAsia="fr-FR"/>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acolori-Colore2">
    <w:name w:val="Colorful Grid Accent 2"/>
    <w:basedOn w:val="Tabellanormale"/>
    <w:uiPriority w:val="99"/>
    <w:semiHidden/>
    <w:rsid w:val="00E77CB3"/>
    <w:rPr>
      <w:color w:val="000000" w:themeColor="text1"/>
      <w:lang w:val="fr-FR" w:eastAsia="fr-FR"/>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acolori-Colore3">
    <w:name w:val="Colorful Grid Accent 3"/>
    <w:basedOn w:val="Tabellanormale"/>
    <w:uiPriority w:val="99"/>
    <w:semiHidden/>
    <w:rsid w:val="00E77CB3"/>
    <w:rPr>
      <w:color w:val="000000" w:themeColor="text1"/>
      <w:lang w:val="fr-FR" w:eastAsia="fr-FR"/>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acolori-Colore4">
    <w:name w:val="Colorful Grid Accent 4"/>
    <w:basedOn w:val="Tabellanormale"/>
    <w:uiPriority w:val="99"/>
    <w:semiHidden/>
    <w:rsid w:val="00E77CB3"/>
    <w:rPr>
      <w:color w:val="000000" w:themeColor="text1"/>
      <w:lang w:val="fr-FR" w:eastAsia="fr-FR"/>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acolori-Colore5">
    <w:name w:val="Colorful Grid Accent 5"/>
    <w:basedOn w:val="Tabellanormale"/>
    <w:uiPriority w:val="99"/>
    <w:semiHidden/>
    <w:rsid w:val="00E77CB3"/>
    <w:rPr>
      <w:color w:val="000000" w:themeColor="text1"/>
      <w:lang w:val="fr-FR" w:eastAsia="fr-FR"/>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acolori-Colore6">
    <w:name w:val="Colorful Grid Accent 6"/>
    <w:basedOn w:val="Tabellanormale"/>
    <w:uiPriority w:val="99"/>
    <w:semiHidden/>
    <w:rsid w:val="00E77CB3"/>
    <w:rPr>
      <w:color w:val="000000" w:themeColor="text1"/>
      <w:lang w:val="fr-FR" w:eastAsia="fr-FR"/>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Elencoacolori">
    <w:name w:val="Colorful List"/>
    <w:basedOn w:val="Tabellanormale"/>
    <w:uiPriority w:val="99"/>
    <w:semiHidden/>
    <w:rsid w:val="00E77CB3"/>
    <w:rPr>
      <w:color w:val="000000" w:themeColor="text1"/>
      <w:lang w:val="fr-FR" w:eastAsia="fr-FR"/>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Elencoacolori-Colore1">
    <w:name w:val="Colorful List Accent 1"/>
    <w:basedOn w:val="Tabellanormale"/>
    <w:uiPriority w:val="99"/>
    <w:semiHidden/>
    <w:rsid w:val="00E77CB3"/>
    <w:rPr>
      <w:color w:val="000000" w:themeColor="text1"/>
      <w:lang w:val="fr-FR" w:eastAsia="fr-FR"/>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Elencoacolori-Colore2">
    <w:name w:val="Colorful List Accent 2"/>
    <w:basedOn w:val="Tabellanormale"/>
    <w:uiPriority w:val="99"/>
    <w:semiHidden/>
    <w:rsid w:val="00E77CB3"/>
    <w:rPr>
      <w:color w:val="000000" w:themeColor="text1"/>
      <w:lang w:val="fr-FR" w:eastAsia="fr-FR"/>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Elencoacolori-Colore3">
    <w:name w:val="Colorful List Accent 3"/>
    <w:basedOn w:val="Tabellanormale"/>
    <w:uiPriority w:val="99"/>
    <w:semiHidden/>
    <w:rsid w:val="00E77CB3"/>
    <w:rPr>
      <w:color w:val="000000" w:themeColor="text1"/>
      <w:lang w:val="fr-FR" w:eastAsia="fr-FR"/>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Elencoacolori-Colore4">
    <w:name w:val="Colorful List Accent 4"/>
    <w:basedOn w:val="Tabellanormale"/>
    <w:uiPriority w:val="99"/>
    <w:semiHidden/>
    <w:rsid w:val="00E77CB3"/>
    <w:rPr>
      <w:color w:val="000000" w:themeColor="text1"/>
      <w:lang w:val="fr-FR" w:eastAsia="fr-FR"/>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Elencoacolori-Colore5">
    <w:name w:val="Colorful List Accent 5"/>
    <w:basedOn w:val="Tabellanormale"/>
    <w:uiPriority w:val="99"/>
    <w:semiHidden/>
    <w:rsid w:val="00E77CB3"/>
    <w:rPr>
      <w:color w:val="000000" w:themeColor="text1"/>
      <w:lang w:val="fr-FR" w:eastAsia="fr-FR"/>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Elencoacolori-Colore6">
    <w:name w:val="Colorful List Accent 6"/>
    <w:basedOn w:val="Tabellanormale"/>
    <w:uiPriority w:val="99"/>
    <w:semiHidden/>
    <w:rsid w:val="00E77CB3"/>
    <w:rPr>
      <w:color w:val="000000" w:themeColor="text1"/>
      <w:lang w:val="fr-FR" w:eastAsia="fr-FR"/>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Sfondoacolori">
    <w:name w:val="Colorful Shading"/>
    <w:basedOn w:val="Tabellanormale"/>
    <w:uiPriority w:val="99"/>
    <w:semiHidden/>
    <w:rsid w:val="00E77CB3"/>
    <w:rPr>
      <w:color w:val="000000" w:themeColor="text1"/>
      <w:lang w:val="fr-FR" w:eastAsia="fr-FR"/>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fondoacolori-Colore1">
    <w:name w:val="Colorful Shading Accent 1"/>
    <w:basedOn w:val="Tabellanormale"/>
    <w:uiPriority w:val="99"/>
    <w:semiHidden/>
    <w:rsid w:val="00E77CB3"/>
    <w:rPr>
      <w:color w:val="000000" w:themeColor="text1"/>
      <w:lang w:val="fr-FR" w:eastAsia="fr-FR"/>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Sfondoacolori-Colore2">
    <w:name w:val="Colorful Shading Accent 2"/>
    <w:basedOn w:val="Tabellanormale"/>
    <w:uiPriority w:val="99"/>
    <w:semiHidden/>
    <w:rsid w:val="00E77CB3"/>
    <w:rPr>
      <w:color w:val="000000" w:themeColor="text1"/>
      <w:lang w:val="fr-FR" w:eastAsia="fr-FR"/>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Sfondoacolori-Colore3">
    <w:name w:val="Colorful Shading Accent 3"/>
    <w:basedOn w:val="Tabellanormale"/>
    <w:uiPriority w:val="99"/>
    <w:semiHidden/>
    <w:rsid w:val="00E77CB3"/>
    <w:rPr>
      <w:color w:val="000000" w:themeColor="text1"/>
      <w:lang w:val="fr-FR" w:eastAsia="fr-FR"/>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Sfondoacolori-Colore4">
    <w:name w:val="Colorful Shading Accent 4"/>
    <w:basedOn w:val="Tabellanormale"/>
    <w:uiPriority w:val="99"/>
    <w:semiHidden/>
    <w:rsid w:val="00E77CB3"/>
    <w:rPr>
      <w:color w:val="000000" w:themeColor="text1"/>
      <w:lang w:val="fr-FR" w:eastAsia="fr-FR"/>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Sfondoacolori-Colore5">
    <w:name w:val="Colorful Shading Accent 5"/>
    <w:basedOn w:val="Tabellanormale"/>
    <w:uiPriority w:val="99"/>
    <w:semiHidden/>
    <w:rsid w:val="00E77CB3"/>
    <w:rPr>
      <w:color w:val="000000" w:themeColor="text1"/>
      <w:lang w:val="fr-FR" w:eastAsia="fr-FR"/>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Sfondoacolori-Colore6">
    <w:name w:val="Colorful Shading Accent 6"/>
    <w:basedOn w:val="Tabellanormale"/>
    <w:uiPriority w:val="99"/>
    <w:semiHidden/>
    <w:rsid w:val="00E77CB3"/>
    <w:rPr>
      <w:color w:val="000000" w:themeColor="text1"/>
      <w:lang w:val="fr-FR" w:eastAsia="fr-FR"/>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table" w:styleId="Elencoscuro">
    <w:name w:val="Dark List"/>
    <w:basedOn w:val="Tabellanormale"/>
    <w:uiPriority w:val="99"/>
    <w:semiHidden/>
    <w:rsid w:val="00E77CB3"/>
    <w:rPr>
      <w:color w:val="0072BC" w:themeColor="background1"/>
      <w:lang w:val="fr-FR" w:eastAsia="fr-FR"/>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Elencoscuro-Colore1">
    <w:name w:val="Dark List Accent 1"/>
    <w:basedOn w:val="Tabellanormale"/>
    <w:uiPriority w:val="99"/>
    <w:semiHidden/>
    <w:rsid w:val="00E77CB3"/>
    <w:rPr>
      <w:color w:val="0072BC" w:themeColor="background1"/>
      <w:lang w:val="fr-FR" w:eastAsia="fr-FR"/>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Elencoscuro-Colore2">
    <w:name w:val="Dark List Accent 2"/>
    <w:basedOn w:val="Tabellanormale"/>
    <w:uiPriority w:val="99"/>
    <w:semiHidden/>
    <w:rsid w:val="00E77CB3"/>
    <w:rPr>
      <w:color w:val="0072BC" w:themeColor="background1"/>
      <w:lang w:val="fr-FR" w:eastAsia="fr-FR"/>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Elencoscuro-Colore3">
    <w:name w:val="Dark List Accent 3"/>
    <w:basedOn w:val="Tabellanormale"/>
    <w:uiPriority w:val="99"/>
    <w:semiHidden/>
    <w:rsid w:val="00E77CB3"/>
    <w:rPr>
      <w:color w:val="0072BC" w:themeColor="background1"/>
      <w:lang w:val="fr-FR" w:eastAsia="fr-FR"/>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Elencoscuro-Colore4">
    <w:name w:val="Dark List Accent 4"/>
    <w:basedOn w:val="Tabellanormale"/>
    <w:uiPriority w:val="99"/>
    <w:semiHidden/>
    <w:rsid w:val="00E77CB3"/>
    <w:rPr>
      <w:color w:val="0072BC" w:themeColor="background1"/>
      <w:lang w:val="fr-FR" w:eastAsia="fr-FR"/>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Elencoscuro-Colore5">
    <w:name w:val="Dark List Accent 5"/>
    <w:basedOn w:val="Tabellanormale"/>
    <w:uiPriority w:val="99"/>
    <w:semiHidden/>
    <w:rsid w:val="00E77CB3"/>
    <w:rPr>
      <w:color w:val="0072BC" w:themeColor="background1"/>
      <w:lang w:val="fr-FR" w:eastAsia="fr-FR"/>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Elencoscuro-Colore6">
    <w:name w:val="Dark List Accent 6"/>
    <w:basedOn w:val="Tabellanormale"/>
    <w:uiPriority w:val="99"/>
    <w:semiHidden/>
    <w:rsid w:val="00E77CB3"/>
    <w:rPr>
      <w:color w:val="0072BC" w:themeColor="background1"/>
      <w:lang w:val="fr-FR" w:eastAsia="fr-FR"/>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a">
    <w:name w:val="Date"/>
    <w:basedOn w:val="Normale"/>
    <w:next w:val="Normale"/>
    <w:link w:val="DataCarattere"/>
    <w:uiPriority w:val="99"/>
    <w:semiHidden/>
    <w:rsid w:val="00E77CB3"/>
  </w:style>
  <w:style w:type="character" w:customStyle="1" w:styleId="DataCarattere">
    <w:name w:val="Data Carattere"/>
    <w:basedOn w:val="Carpredefinitoparagrafo"/>
    <w:link w:val="Data"/>
    <w:uiPriority w:val="99"/>
    <w:semiHidden/>
    <w:rsid w:val="00E77CB3"/>
    <w:rPr>
      <w:rFonts w:eastAsiaTheme="minorEastAsia"/>
      <w:sz w:val="24"/>
    </w:rPr>
  </w:style>
  <w:style w:type="paragraph" w:styleId="Firmadipostaelettronica">
    <w:name w:val="E-mail Signature"/>
    <w:basedOn w:val="Normale"/>
    <w:link w:val="FirmadipostaelettronicaCarattere"/>
    <w:uiPriority w:val="99"/>
    <w:semiHidden/>
    <w:rsid w:val="00E77CB3"/>
  </w:style>
  <w:style w:type="character" w:customStyle="1" w:styleId="FirmadipostaelettronicaCarattere">
    <w:name w:val="Firma di posta elettronica Carattere"/>
    <w:basedOn w:val="Carpredefinitoparagrafo"/>
    <w:link w:val="Firmadipostaelettronica"/>
    <w:uiPriority w:val="99"/>
    <w:semiHidden/>
    <w:rsid w:val="00E77CB3"/>
    <w:rPr>
      <w:rFonts w:eastAsiaTheme="minorEastAsia"/>
      <w:sz w:val="24"/>
    </w:rPr>
  </w:style>
  <w:style w:type="paragraph" w:styleId="Indirizzodestinatario">
    <w:name w:val="envelope address"/>
    <w:basedOn w:val="Normale"/>
    <w:uiPriority w:val="99"/>
    <w:semiHidden/>
    <w:rsid w:val="00E77CB3"/>
    <w:pPr>
      <w:framePr w:w="7938" w:h="1985" w:hRule="exact" w:hSpace="141" w:wrap="auto" w:hAnchor="page" w:xAlign="center" w:yAlign="bottom"/>
      <w:ind w:left="2835"/>
    </w:pPr>
    <w:rPr>
      <w:rFonts w:asciiTheme="majorHAnsi" w:eastAsiaTheme="majorEastAsia" w:hAnsiTheme="majorHAnsi" w:cstheme="majorBidi"/>
      <w:szCs w:val="24"/>
    </w:rPr>
  </w:style>
  <w:style w:type="paragraph" w:styleId="Indirizzomittente">
    <w:name w:val="envelope return"/>
    <w:basedOn w:val="Normale"/>
    <w:uiPriority w:val="99"/>
    <w:semiHidden/>
    <w:rsid w:val="00E77CB3"/>
    <w:rPr>
      <w:rFonts w:asciiTheme="majorHAnsi" w:eastAsiaTheme="majorEastAsia" w:hAnsiTheme="majorHAnsi" w:cstheme="majorBidi"/>
      <w:sz w:val="20"/>
      <w:szCs w:val="20"/>
    </w:rPr>
  </w:style>
  <w:style w:type="character" w:styleId="AcronimoHTML">
    <w:name w:val="HTML Acronym"/>
    <w:basedOn w:val="Carpredefinitoparagrafo"/>
    <w:uiPriority w:val="99"/>
    <w:semiHidden/>
    <w:rsid w:val="00E77CB3"/>
  </w:style>
  <w:style w:type="paragraph" w:styleId="IndirizzoHTML">
    <w:name w:val="HTML Address"/>
    <w:basedOn w:val="Normale"/>
    <w:link w:val="IndirizzoHTMLCarattere"/>
    <w:uiPriority w:val="99"/>
    <w:semiHidden/>
    <w:rsid w:val="00E77CB3"/>
    <w:rPr>
      <w:i/>
      <w:iCs/>
    </w:rPr>
  </w:style>
  <w:style w:type="character" w:customStyle="1" w:styleId="IndirizzoHTMLCarattere">
    <w:name w:val="Indirizzo HTML Carattere"/>
    <w:basedOn w:val="Carpredefinitoparagrafo"/>
    <w:link w:val="IndirizzoHTML"/>
    <w:uiPriority w:val="99"/>
    <w:semiHidden/>
    <w:rsid w:val="00E77CB3"/>
    <w:rPr>
      <w:rFonts w:eastAsiaTheme="minorEastAsia"/>
      <w:i/>
      <w:iCs/>
      <w:sz w:val="24"/>
    </w:rPr>
  </w:style>
  <w:style w:type="character" w:styleId="CitazioneHTML">
    <w:name w:val="HTML Cite"/>
    <w:basedOn w:val="Carpredefinitoparagrafo"/>
    <w:uiPriority w:val="99"/>
    <w:semiHidden/>
    <w:rsid w:val="00E77CB3"/>
    <w:rPr>
      <w:i/>
      <w:iCs/>
    </w:rPr>
  </w:style>
  <w:style w:type="character" w:styleId="CodiceHTML">
    <w:name w:val="HTML Code"/>
    <w:basedOn w:val="Carpredefinitoparagrafo"/>
    <w:uiPriority w:val="99"/>
    <w:semiHidden/>
    <w:rsid w:val="00E77CB3"/>
    <w:rPr>
      <w:rFonts w:ascii="Consolas" w:hAnsi="Consolas" w:cs="Consolas"/>
      <w:sz w:val="20"/>
      <w:szCs w:val="20"/>
    </w:rPr>
  </w:style>
  <w:style w:type="character" w:styleId="DefinizioneHTML">
    <w:name w:val="HTML Definition"/>
    <w:basedOn w:val="Carpredefinitoparagrafo"/>
    <w:uiPriority w:val="99"/>
    <w:semiHidden/>
    <w:rsid w:val="00E77CB3"/>
    <w:rPr>
      <w:i/>
      <w:iCs/>
    </w:rPr>
  </w:style>
  <w:style w:type="character" w:styleId="TastieraHTML">
    <w:name w:val="HTML Keyboard"/>
    <w:basedOn w:val="Carpredefinitoparagrafo"/>
    <w:uiPriority w:val="99"/>
    <w:semiHidden/>
    <w:rsid w:val="00E77CB3"/>
    <w:rPr>
      <w:rFonts w:ascii="Consolas" w:hAnsi="Consolas" w:cs="Consolas"/>
      <w:sz w:val="20"/>
      <w:szCs w:val="20"/>
    </w:rPr>
  </w:style>
  <w:style w:type="paragraph" w:styleId="PreformattatoHTML">
    <w:name w:val="HTML Preformatted"/>
    <w:basedOn w:val="Normale"/>
    <w:link w:val="PreformattatoHTMLCarattere"/>
    <w:uiPriority w:val="99"/>
    <w:semiHidden/>
    <w:rsid w:val="00E77CB3"/>
    <w:rPr>
      <w:rFonts w:ascii="Consolas" w:hAnsi="Consolas" w:cs="Consolas"/>
      <w:sz w:val="20"/>
      <w:szCs w:val="20"/>
    </w:rPr>
  </w:style>
  <w:style w:type="character" w:customStyle="1" w:styleId="PreformattatoHTMLCarattere">
    <w:name w:val="Preformattato HTML Carattere"/>
    <w:basedOn w:val="Carpredefinitoparagrafo"/>
    <w:link w:val="PreformattatoHTML"/>
    <w:uiPriority w:val="99"/>
    <w:semiHidden/>
    <w:rsid w:val="00E77CB3"/>
    <w:rPr>
      <w:rFonts w:ascii="Consolas" w:eastAsiaTheme="minorEastAsia" w:hAnsi="Consolas" w:cs="Consolas"/>
      <w:sz w:val="20"/>
      <w:szCs w:val="20"/>
    </w:rPr>
  </w:style>
  <w:style w:type="character" w:styleId="EsempioHTML">
    <w:name w:val="HTML Sample"/>
    <w:basedOn w:val="Carpredefinitoparagrafo"/>
    <w:uiPriority w:val="99"/>
    <w:semiHidden/>
    <w:rsid w:val="00E77CB3"/>
    <w:rPr>
      <w:rFonts w:ascii="Consolas" w:hAnsi="Consolas" w:cs="Consolas"/>
      <w:sz w:val="24"/>
      <w:szCs w:val="24"/>
    </w:rPr>
  </w:style>
  <w:style w:type="character" w:styleId="MacchinadascrivereHTML">
    <w:name w:val="HTML Typewriter"/>
    <w:basedOn w:val="Carpredefinitoparagrafo"/>
    <w:uiPriority w:val="99"/>
    <w:semiHidden/>
    <w:rsid w:val="00E77CB3"/>
    <w:rPr>
      <w:rFonts w:ascii="Consolas" w:hAnsi="Consolas" w:cs="Consolas"/>
      <w:sz w:val="20"/>
      <w:szCs w:val="20"/>
    </w:rPr>
  </w:style>
  <w:style w:type="character" w:styleId="VariabileHTML">
    <w:name w:val="HTML Variable"/>
    <w:basedOn w:val="Carpredefinitoparagrafo"/>
    <w:uiPriority w:val="99"/>
    <w:semiHidden/>
    <w:rsid w:val="00E77CB3"/>
    <w:rPr>
      <w:i/>
      <w:iCs/>
    </w:rPr>
  </w:style>
  <w:style w:type="paragraph" w:styleId="Indice1">
    <w:name w:val="index 1"/>
    <w:basedOn w:val="Normale"/>
    <w:next w:val="Normale"/>
    <w:autoRedefine/>
    <w:uiPriority w:val="99"/>
    <w:semiHidden/>
    <w:rsid w:val="00E77CB3"/>
    <w:pPr>
      <w:ind w:left="240" w:hanging="240"/>
    </w:pPr>
  </w:style>
  <w:style w:type="paragraph" w:styleId="Indice2">
    <w:name w:val="index 2"/>
    <w:basedOn w:val="Normale"/>
    <w:next w:val="Normale"/>
    <w:autoRedefine/>
    <w:uiPriority w:val="99"/>
    <w:semiHidden/>
    <w:rsid w:val="00E77CB3"/>
    <w:pPr>
      <w:ind w:left="480" w:hanging="240"/>
    </w:pPr>
  </w:style>
  <w:style w:type="paragraph" w:styleId="Indice3">
    <w:name w:val="index 3"/>
    <w:basedOn w:val="Normale"/>
    <w:next w:val="Normale"/>
    <w:autoRedefine/>
    <w:uiPriority w:val="99"/>
    <w:semiHidden/>
    <w:rsid w:val="00E77CB3"/>
    <w:pPr>
      <w:ind w:left="720" w:hanging="240"/>
    </w:pPr>
  </w:style>
  <w:style w:type="paragraph" w:styleId="Indice4">
    <w:name w:val="index 4"/>
    <w:basedOn w:val="Normale"/>
    <w:next w:val="Normale"/>
    <w:autoRedefine/>
    <w:uiPriority w:val="99"/>
    <w:semiHidden/>
    <w:rsid w:val="00E77CB3"/>
    <w:pPr>
      <w:ind w:left="960" w:hanging="240"/>
    </w:pPr>
  </w:style>
  <w:style w:type="paragraph" w:styleId="Indice5">
    <w:name w:val="index 5"/>
    <w:basedOn w:val="Normale"/>
    <w:next w:val="Normale"/>
    <w:autoRedefine/>
    <w:uiPriority w:val="99"/>
    <w:semiHidden/>
    <w:rsid w:val="00E77CB3"/>
    <w:pPr>
      <w:ind w:left="1200" w:hanging="240"/>
    </w:pPr>
  </w:style>
  <w:style w:type="paragraph" w:styleId="Indice6">
    <w:name w:val="index 6"/>
    <w:basedOn w:val="Normale"/>
    <w:next w:val="Normale"/>
    <w:autoRedefine/>
    <w:uiPriority w:val="99"/>
    <w:semiHidden/>
    <w:rsid w:val="00E77CB3"/>
    <w:pPr>
      <w:ind w:left="1440" w:hanging="240"/>
    </w:pPr>
  </w:style>
  <w:style w:type="paragraph" w:styleId="Indice7">
    <w:name w:val="index 7"/>
    <w:basedOn w:val="Normale"/>
    <w:next w:val="Normale"/>
    <w:autoRedefine/>
    <w:uiPriority w:val="99"/>
    <w:semiHidden/>
    <w:rsid w:val="00E77CB3"/>
    <w:pPr>
      <w:ind w:left="1680" w:hanging="240"/>
    </w:pPr>
  </w:style>
  <w:style w:type="paragraph" w:styleId="Indice8">
    <w:name w:val="index 8"/>
    <w:basedOn w:val="Normale"/>
    <w:next w:val="Normale"/>
    <w:autoRedefine/>
    <w:uiPriority w:val="99"/>
    <w:semiHidden/>
    <w:rsid w:val="00E77CB3"/>
    <w:pPr>
      <w:ind w:left="1920" w:hanging="240"/>
    </w:pPr>
  </w:style>
  <w:style w:type="paragraph" w:styleId="Indice9">
    <w:name w:val="index 9"/>
    <w:basedOn w:val="Normale"/>
    <w:next w:val="Normale"/>
    <w:autoRedefine/>
    <w:uiPriority w:val="99"/>
    <w:semiHidden/>
    <w:rsid w:val="00E77CB3"/>
    <w:pPr>
      <w:ind w:left="2160" w:hanging="240"/>
    </w:pPr>
  </w:style>
  <w:style w:type="paragraph" w:styleId="Titoloindice">
    <w:name w:val="index heading"/>
    <w:basedOn w:val="Normale"/>
    <w:next w:val="Indice1"/>
    <w:uiPriority w:val="99"/>
    <w:semiHidden/>
    <w:rsid w:val="00E77CB3"/>
    <w:rPr>
      <w:rFonts w:asciiTheme="majorHAnsi" w:eastAsiaTheme="majorEastAsia" w:hAnsiTheme="majorHAnsi" w:cstheme="majorBidi"/>
      <w:b/>
      <w:bCs/>
    </w:rPr>
  </w:style>
  <w:style w:type="table" w:styleId="Grigliachiara">
    <w:name w:val="Light Grid"/>
    <w:basedOn w:val="Tabellanormale"/>
    <w:uiPriority w:val="99"/>
    <w:semiHidden/>
    <w:rsid w:val="00E77CB3"/>
    <w:rPr>
      <w:lang w:val="fr-FR"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gliachiara-Colore1">
    <w:name w:val="Light Grid Accent 1"/>
    <w:basedOn w:val="Tabellanormale"/>
    <w:uiPriority w:val="99"/>
    <w:semiHidden/>
    <w:rsid w:val="00E77CB3"/>
    <w:rPr>
      <w:lang w:val="fr-FR" w:eastAsia="fr-FR"/>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Grigliachiara-Colore2">
    <w:name w:val="Light Grid Accent 2"/>
    <w:basedOn w:val="Tabellanormale"/>
    <w:uiPriority w:val="99"/>
    <w:semiHidden/>
    <w:rsid w:val="00E77CB3"/>
    <w:rPr>
      <w:lang w:val="fr-FR" w:eastAsia="fr-FR"/>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Grigliachiara-Colore3">
    <w:name w:val="Light Grid Accent 3"/>
    <w:basedOn w:val="Tabellanormale"/>
    <w:uiPriority w:val="99"/>
    <w:semiHidden/>
    <w:rsid w:val="00E77CB3"/>
    <w:rPr>
      <w:lang w:val="fr-FR" w:eastAsia="fr-FR"/>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Grigliachiara-Colore4">
    <w:name w:val="Light Grid Accent 4"/>
    <w:basedOn w:val="Tabellanormale"/>
    <w:uiPriority w:val="99"/>
    <w:semiHidden/>
    <w:rsid w:val="00E77CB3"/>
    <w:rPr>
      <w:lang w:val="fr-FR" w:eastAsia="fr-FR"/>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Grigliachiara-Colore5">
    <w:name w:val="Light Grid Accent 5"/>
    <w:basedOn w:val="Tabellanormale"/>
    <w:uiPriority w:val="99"/>
    <w:semiHidden/>
    <w:rsid w:val="00E77CB3"/>
    <w:rPr>
      <w:lang w:val="fr-FR" w:eastAsia="fr-FR"/>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Grigliachiara-Colore6">
    <w:name w:val="Light Grid Accent 6"/>
    <w:basedOn w:val="Tabellanormale"/>
    <w:uiPriority w:val="99"/>
    <w:semiHidden/>
    <w:rsid w:val="00E77CB3"/>
    <w:rPr>
      <w:lang w:val="fr-FR" w:eastAsia="fr-FR"/>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Elencochiaro">
    <w:name w:val="Light List"/>
    <w:basedOn w:val="Tabellanormale"/>
    <w:uiPriority w:val="99"/>
    <w:semiHidden/>
    <w:rsid w:val="00E77CB3"/>
    <w:rPr>
      <w:lang w:val="fr-FR"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Elencochiaro-Colore1">
    <w:name w:val="Light List Accent 1"/>
    <w:basedOn w:val="Tabellanormale"/>
    <w:uiPriority w:val="99"/>
    <w:semiHidden/>
    <w:rsid w:val="00E77CB3"/>
    <w:rPr>
      <w:lang w:val="fr-FR" w:eastAsia="fr-FR"/>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Elencochiaro-Colore2">
    <w:name w:val="Light List Accent 2"/>
    <w:basedOn w:val="Tabellanormale"/>
    <w:uiPriority w:val="99"/>
    <w:semiHidden/>
    <w:rsid w:val="00E77CB3"/>
    <w:rPr>
      <w:lang w:val="fr-FR" w:eastAsia="fr-FR"/>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Elencochiaro-Colore3">
    <w:name w:val="Light List Accent 3"/>
    <w:basedOn w:val="Tabellanormale"/>
    <w:uiPriority w:val="99"/>
    <w:semiHidden/>
    <w:rsid w:val="00E77CB3"/>
    <w:rPr>
      <w:lang w:val="fr-FR" w:eastAsia="fr-FR"/>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Elencochiaro-Colore4">
    <w:name w:val="Light List Accent 4"/>
    <w:basedOn w:val="Tabellanormale"/>
    <w:uiPriority w:val="99"/>
    <w:semiHidden/>
    <w:rsid w:val="00E77CB3"/>
    <w:rPr>
      <w:lang w:val="fr-FR" w:eastAsia="fr-FR"/>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Elencochiaro-Colore5">
    <w:name w:val="Light List Accent 5"/>
    <w:basedOn w:val="Tabellanormale"/>
    <w:uiPriority w:val="99"/>
    <w:semiHidden/>
    <w:rsid w:val="00E77CB3"/>
    <w:rPr>
      <w:lang w:val="fr-FR" w:eastAsia="fr-FR"/>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Elencochiaro-Colore6">
    <w:name w:val="Light List Accent 6"/>
    <w:basedOn w:val="Tabellanormale"/>
    <w:uiPriority w:val="99"/>
    <w:semiHidden/>
    <w:rsid w:val="00E77CB3"/>
    <w:rPr>
      <w:lang w:val="fr-FR" w:eastAsia="fr-FR"/>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Sfondochiaro">
    <w:name w:val="Light Shading"/>
    <w:basedOn w:val="Tabellanormale"/>
    <w:uiPriority w:val="99"/>
    <w:semiHidden/>
    <w:rsid w:val="00E77CB3"/>
    <w:rPr>
      <w:color w:val="000000" w:themeColor="text1" w:themeShade="BF"/>
      <w:lang w:val="fr-FR" w:eastAsia="fr-FR"/>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fondochiaro-Colore1">
    <w:name w:val="Light Shading Accent 1"/>
    <w:basedOn w:val="Tabellanormale"/>
    <w:uiPriority w:val="99"/>
    <w:semiHidden/>
    <w:rsid w:val="00E77CB3"/>
    <w:rPr>
      <w:color w:val="00548C" w:themeColor="accent1" w:themeShade="BF"/>
      <w:lang w:val="fr-FR" w:eastAsia="fr-FR"/>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Sfondochiaro-Colore2">
    <w:name w:val="Light Shading Accent 2"/>
    <w:basedOn w:val="Tabellanormale"/>
    <w:uiPriority w:val="99"/>
    <w:semiHidden/>
    <w:rsid w:val="00E77CB3"/>
    <w:rPr>
      <w:color w:val="8F0000" w:themeColor="accent2" w:themeShade="BF"/>
      <w:lang w:val="fr-FR" w:eastAsia="fr-FR"/>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Sfondochiaro-Colore3">
    <w:name w:val="Light Shading Accent 3"/>
    <w:basedOn w:val="Tabellanormale"/>
    <w:uiPriority w:val="99"/>
    <w:semiHidden/>
    <w:rsid w:val="00E77CB3"/>
    <w:rPr>
      <w:color w:val="474747" w:themeColor="accent3" w:themeShade="BF"/>
      <w:lang w:val="fr-FR" w:eastAsia="fr-FR"/>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Sfondochiaro-Colore4">
    <w:name w:val="Light Shading Accent 4"/>
    <w:basedOn w:val="Tabellanormale"/>
    <w:uiPriority w:val="99"/>
    <w:semiHidden/>
    <w:rsid w:val="00E77CB3"/>
    <w:rPr>
      <w:color w:val="707070" w:themeColor="accent4" w:themeShade="BF"/>
      <w:lang w:val="fr-FR" w:eastAsia="fr-FR"/>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Sfondochiaro-Colore5">
    <w:name w:val="Light Shading Accent 5"/>
    <w:basedOn w:val="Tabellanormale"/>
    <w:uiPriority w:val="99"/>
    <w:semiHidden/>
    <w:rsid w:val="00E77CB3"/>
    <w:rPr>
      <w:color w:val="474747" w:themeColor="accent5" w:themeShade="BF"/>
      <w:lang w:val="fr-FR" w:eastAsia="fr-FR"/>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Sfondochiaro-Colore6">
    <w:name w:val="Light Shading Accent 6"/>
    <w:basedOn w:val="Tabellanormale"/>
    <w:uiPriority w:val="99"/>
    <w:semiHidden/>
    <w:rsid w:val="00E77CB3"/>
    <w:rPr>
      <w:color w:val="393939" w:themeColor="accent6" w:themeShade="BF"/>
      <w:lang w:val="fr-FR" w:eastAsia="fr-FR"/>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Numeroriga">
    <w:name w:val="line number"/>
    <w:basedOn w:val="Carpredefinitoparagrafo"/>
    <w:uiPriority w:val="99"/>
    <w:semiHidden/>
    <w:rsid w:val="00E77CB3"/>
  </w:style>
  <w:style w:type="paragraph" w:styleId="Elenco">
    <w:name w:val="List"/>
    <w:basedOn w:val="Normale"/>
    <w:uiPriority w:val="99"/>
    <w:semiHidden/>
    <w:rsid w:val="00E77CB3"/>
    <w:pPr>
      <w:ind w:left="283" w:hanging="283"/>
      <w:contextualSpacing/>
    </w:pPr>
  </w:style>
  <w:style w:type="paragraph" w:styleId="Elenco2">
    <w:name w:val="List 2"/>
    <w:basedOn w:val="Normale"/>
    <w:uiPriority w:val="99"/>
    <w:semiHidden/>
    <w:rsid w:val="00E77CB3"/>
    <w:pPr>
      <w:ind w:left="566" w:hanging="283"/>
      <w:contextualSpacing/>
    </w:pPr>
  </w:style>
  <w:style w:type="paragraph" w:styleId="Elenco3">
    <w:name w:val="List 3"/>
    <w:basedOn w:val="Normale"/>
    <w:uiPriority w:val="99"/>
    <w:semiHidden/>
    <w:rsid w:val="00E77CB3"/>
    <w:pPr>
      <w:ind w:left="849" w:hanging="283"/>
      <w:contextualSpacing/>
    </w:pPr>
  </w:style>
  <w:style w:type="paragraph" w:styleId="Elenco4">
    <w:name w:val="List 4"/>
    <w:basedOn w:val="Normale"/>
    <w:uiPriority w:val="99"/>
    <w:semiHidden/>
    <w:rsid w:val="00E77CB3"/>
    <w:pPr>
      <w:ind w:left="1132" w:hanging="283"/>
      <w:contextualSpacing/>
    </w:pPr>
  </w:style>
  <w:style w:type="paragraph" w:styleId="Elenco5">
    <w:name w:val="List 5"/>
    <w:basedOn w:val="Normale"/>
    <w:uiPriority w:val="99"/>
    <w:semiHidden/>
    <w:rsid w:val="00E77CB3"/>
    <w:pPr>
      <w:ind w:left="1415" w:hanging="283"/>
      <w:contextualSpacing/>
    </w:pPr>
  </w:style>
  <w:style w:type="paragraph" w:styleId="Puntoelenco2">
    <w:name w:val="List Bullet 2"/>
    <w:basedOn w:val="Normale"/>
    <w:uiPriority w:val="99"/>
    <w:semiHidden/>
    <w:rsid w:val="00E77CB3"/>
    <w:pPr>
      <w:numPr>
        <w:numId w:val="5"/>
      </w:numPr>
      <w:contextualSpacing/>
    </w:pPr>
  </w:style>
  <w:style w:type="paragraph" w:styleId="Puntoelenco3">
    <w:name w:val="List Bullet 3"/>
    <w:basedOn w:val="Normale"/>
    <w:uiPriority w:val="99"/>
    <w:semiHidden/>
    <w:rsid w:val="00E77CB3"/>
    <w:pPr>
      <w:numPr>
        <w:numId w:val="6"/>
      </w:numPr>
      <w:contextualSpacing/>
    </w:pPr>
  </w:style>
  <w:style w:type="paragraph" w:styleId="Puntoelenco4">
    <w:name w:val="List Bullet 4"/>
    <w:basedOn w:val="Normale"/>
    <w:uiPriority w:val="99"/>
    <w:semiHidden/>
    <w:rsid w:val="00E77CB3"/>
    <w:pPr>
      <w:numPr>
        <w:numId w:val="7"/>
      </w:numPr>
      <w:contextualSpacing/>
    </w:pPr>
  </w:style>
  <w:style w:type="paragraph" w:styleId="Puntoelenco5">
    <w:name w:val="List Bullet 5"/>
    <w:basedOn w:val="Normale"/>
    <w:uiPriority w:val="99"/>
    <w:semiHidden/>
    <w:rsid w:val="00E77CB3"/>
    <w:pPr>
      <w:numPr>
        <w:numId w:val="8"/>
      </w:numPr>
      <w:contextualSpacing/>
    </w:pPr>
  </w:style>
  <w:style w:type="paragraph" w:styleId="Elencocontinua">
    <w:name w:val="List Continue"/>
    <w:basedOn w:val="Normale"/>
    <w:uiPriority w:val="99"/>
    <w:semiHidden/>
    <w:rsid w:val="00E77CB3"/>
    <w:pPr>
      <w:spacing w:after="120"/>
      <w:ind w:left="283"/>
      <w:contextualSpacing/>
    </w:pPr>
  </w:style>
  <w:style w:type="paragraph" w:styleId="Elencocontinua2">
    <w:name w:val="List Continue 2"/>
    <w:basedOn w:val="Normale"/>
    <w:uiPriority w:val="99"/>
    <w:semiHidden/>
    <w:rsid w:val="00E77CB3"/>
    <w:pPr>
      <w:spacing w:after="120"/>
      <w:ind w:left="566"/>
      <w:contextualSpacing/>
    </w:pPr>
  </w:style>
  <w:style w:type="paragraph" w:styleId="Elencocontinua3">
    <w:name w:val="List Continue 3"/>
    <w:basedOn w:val="Normale"/>
    <w:uiPriority w:val="99"/>
    <w:semiHidden/>
    <w:rsid w:val="00E77CB3"/>
    <w:pPr>
      <w:spacing w:after="120"/>
      <w:ind w:left="849"/>
      <w:contextualSpacing/>
    </w:pPr>
  </w:style>
  <w:style w:type="paragraph" w:styleId="Elencocontinua4">
    <w:name w:val="List Continue 4"/>
    <w:basedOn w:val="Normale"/>
    <w:uiPriority w:val="99"/>
    <w:semiHidden/>
    <w:rsid w:val="00E77CB3"/>
    <w:pPr>
      <w:spacing w:after="120"/>
      <w:ind w:left="1132"/>
      <w:contextualSpacing/>
    </w:pPr>
  </w:style>
  <w:style w:type="paragraph" w:styleId="Elencocontinua5">
    <w:name w:val="List Continue 5"/>
    <w:basedOn w:val="Normale"/>
    <w:uiPriority w:val="99"/>
    <w:semiHidden/>
    <w:rsid w:val="00E77CB3"/>
    <w:pPr>
      <w:spacing w:after="120"/>
      <w:ind w:left="1415"/>
      <w:contextualSpacing/>
    </w:pPr>
  </w:style>
  <w:style w:type="paragraph" w:styleId="Numeroelenco">
    <w:name w:val="List Number"/>
    <w:basedOn w:val="Normale"/>
    <w:uiPriority w:val="99"/>
    <w:semiHidden/>
    <w:rsid w:val="00E77CB3"/>
    <w:pPr>
      <w:numPr>
        <w:numId w:val="9"/>
      </w:numPr>
      <w:contextualSpacing/>
    </w:pPr>
  </w:style>
  <w:style w:type="paragraph" w:styleId="Numeroelenco2">
    <w:name w:val="List Number 2"/>
    <w:basedOn w:val="Normale"/>
    <w:uiPriority w:val="99"/>
    <w:semiHidden/>
    <w:rsid w:val="00E77CB3"/>
    <w:pPr>
      <w:numPr>
        <w:numId w:val="10"/>
      </w:numPr>
      <w:contextualSpacing/>
    </w:pPr>
  </w:style>
  <w:style w:type="paragraph" w:styleId="Numeroelenco3">
    <w:name w:val="List Number 3"/>
    <w:basedOn w:val="Normale"/>
    <w:uiPriority w:val="99"/>
    <w:semiHidden/>
    <w:rsid w:val="00E77CB3"/>
    <w:pPr>
      <w:numPr>
        <w:numId w:val="11"/>
      </w:numPr>
      <w:contextualSpacing/>
    </w:pPr>
  </w:style>
  <w:style w:type="paragraph" w:styleId="Numeroelenco4">
    <w:name w:val="List Number 4"/>
    <w:basedOn w:val="Normale"/>
    <w:uiPriority w:val="99"/>
    <w:semiHidden/>
    <w:rsid w:val="00E77CB3"/>
    <w:pPr>
      <w:numPr>
        <w:numId w:val="12"/>
      </w:numPr>
      <w:contextualSpacing/>
    </w:pPr>
  </w:style>
  <w:style w:type="paragraph" w:styleId="Numeroelenco5">
    <w:name w:val="List Number 5"/>
    <w:basedOn w:val="Normale"/>
    <w:uiPriority w:val="99"/>
    <w:semiHidden/>
    <w:rsid w:val="00E77CB3"/>
    <w:pPr>
      <w:numPr>
        <w:numId w:val="13"/>
      </w:numPr>
      <w:contextualSpacing/>
    </w:pPr>
  </w:style>
  <w:style w:type="paragraph" w:styleId="Testomacro">
    <w:name w:val="macro"/>
    <w:link w:val="TestomacroCarattere"/>
    <w:uiPriority w:val="99"/>
    <w:semiHidden/>
    <w:rsid w:val="00E77CB3"/>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TestomacroCarattere">
    <w:name w:val="Testo macro Carattere"/>
    <w:basedOn w:val="Carpredefinitoparagrafo"/>
    <w:link w:val="Testomacro"/>
    <w:uiPriority w:val="99"/>
    <w:semiHidden/>
    <w:rsid w:val="00E77CB3"/>
    <w:rPr>
      <w:rFonts w:ascii="Consolas" w:eastAsiaTheme="minorEastAsia" w:hAnsi="Consolas" w:cs="Consolas"/>
      <w:sz w:val="20"/>
      <w:szCs w:val="20"/>
    </w:rPr>
  </w:style>
  <w:style w:type="table" w:styleId="Grigliamedia1">
    <w:name w:val="Medium Grid 1"/>
    <w:basedOn w:val="Tabellanormale"/>
    <w:uiPriority w:val="99"/>
    <w:semiHidden/>
    <w:rsid w:val="00E77CB3"/>
    <w:rPr>
      <w:lang w:val="fr-FR" w:eastAsia="fr-FR"/>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media1-Colore1">
    <w:name w:val="Medium Grid 1 Accent 1"/>
    <w:basedOn w:val="Tabellanormale"/>
    <w:uiPriority w:val="99"/>
    <w:semiHidden/>
    <w:rsid w:val="00E77CB3"/>
    <w:rPr>
      <w:lang w:val="fr-FR" w:eastAsia="fr-FR"/>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media1-Colore2">
    <w:name w:val="Medium Grid 1 Accent 2"/>
    <w:basedOn w:val="Tabellanormale"/>
    <w:uiPriority w:val="99"/>
    <w:semiHidden/>
    <w:rsid w:val="00E77CB3"/>
    <w:rPr>
      <w:lang w:val="fr-FR" w:eastAsia="fr-FR"/>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media1-Colore3">
    <w:name w:val="Medium Grid 1 Accent 3"/>
    <w:basedOn w:val="Tabellanormale"/>
    <w:uiPriority w:val="99"/>
    <w:semiHidden/>
    <w:rsid w:val="00E77CB3"/>
    <w:rPr>
      <w:lang w:val="fr-FR" w:eastAsia="fr-FR"/>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media1-Colore4">
    <w:name w:val="Medium Grid 1 Accent 4"/>
    <w:basedOn w:val="Tabellanormale"/>
    <w:uiPriority w:val="99"/>
    <w:semiHidden/>
    <w:rsid w:val="00E77CB3"/>
    <w:rPr>
      <w:lang w:val="fr-FR" w:eastAsia="fr-FR"/>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media1-Colore5">
    <w:name w:val="Medium Grid 1 Accent 5"/>
    <w:basedOn w:val="Tabellanormale"/>
    <w:uiPriority w:val="99"/>
    <w:semiHidden/>
    <w:rsid w:val="00E77CB3"/>
    <w:rPr>
      <w:lang w:val="fr-FR" w:eastAsia="fr-FR"/>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media1-Colore6">
    <w:name w:val="Medium Grid 1 Accent 6"/>
    <w:basedOn w:val="Tabellanormale"/>
    <w:uiPriority w:val="99"/>
    <w:semiHidden/>
    <w:rsid w:val="00E77CB3"/>
    <w:rPr>
      <w:lang w:val="fr-FR" w:eastAsia="fr-FR"/>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Grigliamedia2">
    <w:name w:val="Medium Grid 2"/>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Grigliamedia2-Colore1">
    <w:name w:val="Medium Grid 2 Accent 1"/>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Grigliamedia2-Colore2">
    <w:name w:val="Medium Grid 2 Accent 2"/>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Grigliamedia2-Colore3">
    <w:name w:val="Medium Grid 2 Accent 3"/>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Grigliamedia2-Colore4">
    <w:name w:val="Medium Grid 2 Accent 4"/>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Grigliamedia2-Colore5">
    <w:name w:val="Medium Grid 2 Accent 5"/>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Grigliamedia2-Colore6">
    <w:name w:val="Medium Grid 2 Accent 6"/>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Grigliamedia3">
    <w:name w:val="Medium Grid 3"/>
    <w:basedOn w:val="Tabellanormale"/>
    <w:uiPriority w:val="99"/>
    <w:semiHidden/>
    <w:rsid w:val="00E77CB3"/>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Grigliamedia3-Colore1">
    <w:name w:val="Medium Grid 3 Accent 1"/>
    <w:basedOn w:val="Tabellanormale"/>
    <w:uiPriority w:val="99"/>
    <w:semiHidden/>
    <w:rsid w:val="00E77CB3"/>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Grigliamedia3-Colore2">
    <w:name w:val="Medium Grid 3 Accent 2"/>
    <w:basedOn w:val="Tabellanormale"/>
    <w:uiPriority w:val="99"/>
    <w:semiHidden/>
    <w:rsid w:val="00E77CB3"/>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Grigliamedia3-Colore3">
    <w:name w:val="Medium Grid 3 Accent 3"/>
    <w:basedOn w:val="Tabellanormale"/>
    <w:uiPriority w:val="99"/>
    <w:semiHidden/>
    <w:rsid w:val="00E77CB3"/>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Grigliamedia3-Colore4">
    <w:name w:val="Medium Grid 3 Accent 4"/>
    <w:basedOn w:val="Tabellanormale"/>
    <w:uiPriority w:val="99"/>
    <w:semiHidden/>
    <w:rsid w:val="00E77CB3"/>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Grigliamedia3-Colore5">
    <w:name w:val="Medium Grid 3 Accent 5"/>
    <w:basedOn w:val="Tabellanormale"/>
    <w:uiPriority w:val="99"/>
    <w:semiHidden/>
    <w:rsid w:val="00E77CB3"/>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Grigliamedia3-Colore6">
    <w:name w:val="Medium Grid 3 Accent 6"/>
    <w:basedOn w:val="Tabellanormale"/>
    <w:uiPriority w:val="99"/>
    <w:semiHidden/>
    <w:rsid w:val="00E77CB3"/>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Elencomedio1">
    <w:name w:val="Medium List 1"/>
    <w:basedOn w:val="Tabellanormale"/>
    <w:uiPriority w:val="99"/>
    <w:semiHidden/>
    <w:rsid w:val="00E77CB3"/>
    <w:rPr>
      <w:color w:val="000000" w:themeColor="text1"/>
      <w:lang w:val="fr-FR" w:eastAsia="fr-FR"/>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Elencomedio1-Colore1">
    <w:name w:val="Medium List 1 Accent 1"/>
    <w:basedOn w:val="Tabellanormale"/>
    <w:uiPriority w:val="99"/>
    <w:semiHidden/>
    <w:rsid w:val="00E77CB3"/>
    <w:rPr>
      <w:color w:val="000000" w:themeColor="text1"/>
      <w:lang w:val="fr-FR" w:eastAsia="fr-FR"/>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Elencomedio1-Colore2">
    <w:name w:val="Medium List 1 Accent 2"/>
    <w:basedOn w:val="Tabellanormale"/>
    <w:uiPriority w:val="99"/>
    <w:semiHidden/>
    <w:rsid w:val="00E77CB3"/>
    <w:rPr>
      <w:color w:val="000000" w:themeColor="text1"/>
      <w:lang w:val="fr-FR" w:eastAsia="fr-FR"/>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Elencomedio1-Colore3">
    <w:name w:val="Medium List 1 Accent 3"/>
    <w:basedOn w:val="Tabellanormale"/>
    <w:uiPriority w:val="99"/>
    <w:semiHidden/>
    <w:rsid w:val="00E77CB3"/>
    <w:rPr>
      <w:color w:val="000000" w:themeColor="text1"/>
      <w:lang w:val="fr-FR" w:eastAsia="fr-FR"/>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Elencomedio1-Colore4">
    <w:name w:val="Medium List 1 Accent 4"/>
    <w:basedOn w:val="Tabellanormale"/>
    <w:uiPriority w:val="99"/>
    <w:semiHidden/>
    <w:rsid w:val="00E77CB3"/>
    <w:rPr>
      <w:color w:val="000000" w:themeColor="text1"/>
      <w:lang w:val="fr-FR" w:eastAsia="fr-FR"/>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Elencomedio1-Colore5">
    <w:name w:val="Medium List 1 Accent 5"/>
    <w:basedOn w:val="Tabellanormale"/>
    <w:uiPriority w:val="99"/>
    <w:semiHidden/>
    <w:rsid w:val="00E77CB3"/>
    <w:rPr>
      <w:color w:val="000000" w:themeColor="text1"/>
      <w:lang w:val="fr-FR" w:eastAsia="fr-FR"/>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Elencomedio1-Colore6">
    <w:name w:val="Medium List 1 Accent 6"/>
    <w:basedOn w:val="Tabellanormale"/>
    <w:uiPriority w:val="99"/>
    <w:semiHidden/>
    <w:rsid w:val="00E77CB3"/>
    <w:rPr>
      <w:color w:val="000000" w:themeColor="text1"/>
      <w:lang w:val="fr-FR" w:eastAsia="fr-FR"/>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Elencomedio2">
    <w:name w:val="Medium List 2"/>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1">
    <w:name w:val="Medium List 2 Accent 1"/>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2">
    <w:name w:val="Medium List 2 Accent 2"/>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3">
    <w:name w:val="Medium List 2 Accent 3"/>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4">
    <w:name w:val="Medium List 2 Accent 4"/>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5">
    <w:name w:val="Medium List 2 Accent 5"/>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6">
    <w:name w:val="Medium List 2 Accent 6"/>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Sfondomedio1">
    <w:name w:val="Medium Shading 1"/>
    <w:basedOn w:val="Tabellanormale"/>
    <w:uiPriority w:val="99"/>
    <w:semiHidden/>
    <w:rsid w:val="00E77CB3"/>
    <w:rPr>
      <w:lang w:val="fr-FR" w:eastAsia="fr-FR"/>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fondomedio1-Colore1">
    <w:name w:val="Medium Shading 1 Accent 1"/>
    <w:basedOn w:val="Tabellanormale"/>
    <w:uiPriority w:val="99"/>
    <w:semiHidden/>
    <w:rsid w:val="00E77CB3"/>
    <w:rPr>
      <w:lang w:val="fr-FR" w:eastAsia="fr-FR"/>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Sfondomedio1-Colore2">
    <w:name w:val="Medium Shading 1 Accent 2"/>
    <w:basedOn w:val="Tabellanormale"/>
    <w:uiPriority w:val="99"/>
    <w:semiHidden/>
    <w:rsid w:val="00E77CB3"/>
    <w:rPr>
      <w:lang w:val="fr-FR" w:eastAsia="fr-FR"/>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Sfondomedio1-Colore3">
    <w:name w:val="Medium Shading 1 Accent 3"/>
    <w:basedOn w:val="Tabellanormale"/>
    <w:uiPriority w:val="99"/>
    <w:semiHidden/>
    <w:rsid w:val="00E77CB3"/>
    <w:rPr>
      <w:lang w:val="fr-FR" w:eastAsia="fr-FR"/>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Sfondomedio1-Colore4">
    <w:name w:val="Medium Shading 1 Accent 4"/>
    <w:basedOn w:val="Tabellanormale"/>
    <w:uiPriority w:val="99"/>
    <w:semiHidden/>
    <w:rsid w:val="00E77CB3"/>
    <w:rPr>
      <w:lang w:val="fr-FR" w:eastAsia="fr-FR"/>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Sfondomedio1-Colore5">
    <w:name w:val="Medium Shading 1 Accent 5"/>
    <w:basedOn w:val="Tabellanormale"/>
    <w:uiPriority w:val="99"/>
    <w:semiHidden/>
    <w:rsid w:val="00E77CB3"/>
    <w:rPr>
      <w:lang w:val="fr-FR" w:eastAsia="fr-FR"/>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Sfondomedio1-Colore6">
    <w:name w:val="Medium Shading 1 Accent 6"/>
    <w:basedOn w:val="Tabellanormale"/>
    <w:uiPriority w:val="99"/>
    <w:semiHidden/>
    <w:rsid w:val="00E77CB3"/>
    <w:rPr>
      <w:lang w:val="fr-FR" w:eastAsia="fr-FR"/>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Sfondomedio2">
    <w:name w:val="Medium Shading 2"/>
    <w:basedOn w:val="Tabellanormale"/>
    <w:uiPriority w:val="99"/>
    <w:semiHidden/>
    <w:rsid w:val="00E77CB3"/>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1">
    <w:name w:val="Medium Shading 2 Accent 1"/>
    <w:basedOn w:val="Tabellanormale"/>
    <w:uiPriority w:val="99"/>
    <w:semiHidden/>
    <w:rsid w:val="00E77CB3"/>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2">
    <w:name w:val="Medium Shading 2 Accent 2"/>
    <w:basedOn w:val="Tabellanormale"/>
    <w:uiPriority w:val="99"/>
    <w:semiHidden/>
    <w:rsid w:val="00E77CB3"/>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3">
    <w:name w:val="Medium Shading 2 Accent 3"/>
    <w:basedOn w:val="Tabellanormale"/>
    <w:uiPriority w:val="99"/>
    <w:semiHidden/>
    <w:rsid w:val="00E77CB3"/>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4">
    <w:name w:val="Medium Shading 2 Accent 4"/>
    <w:basedOn w:val="Tabellanormale"/>
    <w:uiPriority w:val="99"/>
    <w:semiHidden/>
    <w:rsid w:val="00E77CB3"/>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5">
    <w:name w:val="Medium Shading 2 Accent 5"/>
    <w:basedOn w:val="Tabellanormale"/>
    <w:uiPriority w:val="99"/>
    <w:semiHidden/>
    <w:rsid w:val="00E77CB3"/>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6">
    <w:name w:val="Medium Shading 2 Accent 6"/>
    <w:basedOn w:val="Tabellanormale"/>
    <w:uiPriority w:val="99"/>
    <w:semiHidden/>
    <w:rsid w:val="00E77CB3"/>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Intestazionemessaggio">
    <w:name w:val="Message Header"/>
    <w:basedOn w:val="Normale"/>
    <w:link w:val="IntestazionemessaggioCarattere"/>
    <w:uiPriority w:val="99"/>
    <w:semiHidden/>
    <w:rsid w:val="00E77CB3"/>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IntestazionemessaggioCarattere">
    <w:name w:val="Intestazione messaggio Carattere"/>
    <w:basedOn w:val="Carpredefinitoparagrafo"/>
    <w:link w:val="Intestazionemessaggio"/>
    <w:uiPriority w:val="99"/>
    <w:semiHidden/>
    <w:rsid w:val="00E77CB3"/>
    <w:rPr>
      <w:rFonts w:asciiTheme="majorHAnsi" w:eastAsiaTheme="majorEastAsia" w:hAnsiTheme="majorHAnsi" w:cstheme="majorBidi"/>
      <w:sz w:val="24"/>
      <w:szCs w:val="24"/>
      <w:shd w:val="pct20" w:color="auto" w:fill="auto"/>
    </w:rPr>
  </w:style>
  <w:style w:type="paragraph" w:styleId="NormaleWeb">
    <w:name w:val="Normal (Web)"/>
    <w:basedOn w:val="Normale"/>
    <w:uiPriority w:val="99"/>
    <w:semiHidden/>
    <w:rsid w:val="00E77CB3"/>
    <w:rPr>
      <w:rFonts w:ascii="Times New Roman" w:hAnsi="Times New Roman" w:cs="Times New Roman"/>
      <w:szCs w:val="24"/>
    </w:rPr>
  </w:style>
  <w:style w:type="paragraph" w:styleId="Rientronormale">
    <w:name w:val="Normal Indent"/>
    <w:basedOn w:val="Normale"/>
    <w:uiPriority w:val="99"/>
    <w:semiHidden/>
    <w:rsid w:val="00E77CB3"/>
    <w:pPr>
      <w:ind w:left="720"/>
    </w:pPr>
  </w:style>
  <w:style w:type="paragraph" w:styleId="Intestazionenota">
    <w:name w:val="Note Heading"/>
    <w:basedOn w:val="Normale"/>
    <w:next w:val="Normale"/>
    <w:link w:val="IntestazionenotaCarattere"/>
    <w:uiPriority w:val="99"/>
    <w:semiHidden/>
    <w:rsid w:val="00E77CB3"/>
  </w:style>
  <w:style w:type="character" w:customStyle="1" w:styleId="IntestazionenotaCarattere">
    <w:name w:val="Intestazione nota Carattere"/>
    <w:basedOn w:val="Carpredefinitoparagrafo"/>
    <w:link w:val="Intestazionenota"/>
    <w:uiPriority w:val="99"/>
    <w:semiHidden/>
    <w:rsid w:val="00E77CB3"/>
    <w:rPr>
      <w:rFonts w:eastAsiaTheme="minorEastAsia"/>
      <w:sz w:val="24"/>
    </w:rPr>
  </w:style>
  <w:style w:type="character" w:styleId="Testosegnaposto">
    <w:name w:val="Placeholder Text"/>
    <w:basedOn w:val="Carpredefinitoparagrafo"/>
    <w:uiPriority w:val="99"/>
    <w:semiHidden/>
    <w:rsid w:val="007877AC"/>
    <w:rPr>
      <w:color w:val="auto"/>
      <w:bdr w:val="none" w:sz="0" w:space="0" w:color="auto"/>
      <w:shd w:val="clear" w:color="auto" w:fill="DFDFDF" w:themeFill="background2" w:themeFillShade="E6"/>
    </w:rPr>
  </w:style>
  <w:style w:type="paragraph" w:styleId="Testonormale">
    <w:name w:val="Plain Text"/>
    <w:basedOn w:val="Normale"/>
    <w:link w:val="TestonormaleCarattere"/>
    <w:uiPriority w:val="99"/>
    <w:semiHidden/>
    <w:rsid w:val="00E77CB3"/>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E77CB3"/>
    <w:rPr>
      <w:rFonts w:ascii="Consolas" w:eastAsiaTheme="minorEastAsia" w:hAnsi="Consolas" w:cs="Consolas"/>
      <w:sz w:val="21"/>
      <w:szCs w:val="21"/>
    </w:rPr>
  </w:style>
  <w:style w:type="paragraph" w:styleId="Formuladiapertura">
    <w:name w:val="Salutation"/>
    <w:basedOn w:val="Normale"/>
    <w:next w:val="Normale"/>
    <w:link w:val="FormuladiaperturaCarattere"/>
    <w:uiPriority w:val="99"/>
    <w:semiHidden/>
    <w:rsid w:val="00E77CB3"/>
  </w:style>
  <w:style w:type="character" w:customStyle="1" w:styleId="FormuladiaperturaCarattere">
    <w:name w:val="Formula di apertura Carattere"/>
    <w:basedOn w:val="Carpredefinitoparagrafo"/>
    <w:link w:val="Formuladiapertura"/>
    <w:uiPriority w:val="99"/>
    <w:semiHidden/>
    <w:rsid w:val="00E77CB3"/>
    <w:rPr>
      <w:rFonts w:eastAsiaTheme="minorEastAsia"/>
      <w:sz w:val="24"/>
    </w:rPr>
  </w:style>
  <w:style w:type="paragraph" w:styleId="Firma">
    <w:name w:val="Signature"/>
    <w:basedOn w:val="Normale"/>
    <w:link w:val="FirmaCarattere"/>
    <w:uiPriority w:val="99"/>
    <w:semiHidden/>
    <w:rsid w:val="00E77CB3"/>
    <w:pPr>
      <w:ind w:left="4252"/>
    </w:pPr>
  </w:style>
  <w:style w:type="character" w:customStyle="1" w:styleId="FirmaCarattere">
    <w:name w:val="Firma Carattere"/>
    <w:basedOn w:val="Carpredefinitoparagrafo"/>
    <w:link w:val="Firma"/>
    <w:uiPriority w:val="99"/>
    <w:semiHidden/>
    <w:rsid w:val="00E77CB3"/>
    <w:rPr>
      <w:rFonts w:eastAsiaTheme="minorEastAsia"/>
      <w:sz w:val="24"/>
    </w:rPr>
  </w:style>
  <w:style w:type="table" w:styleId="Tabellaeffetti3D1">
    <w:name w:val="Table 3D effects 1"/>
    <w:basedOn w:val="Tabellanormale"/>
    <w:uiPriority w:val="99"/>
    <w:semiHidden/>
    <w:rsid w:val="00E77CB3"/>
    <w:pPr>
      <w:jc w:val="both"/>
    </w:pPr>
    <w:rPr>
      <w:lang w:val="fr-FR" w:eastAsia="fr-FR"/>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uiPriority w:val="99"/>
    <w:semiHidden/>
    <w:rsid w:val="00E77CB3"/>
    <w:pPr>
      <w:jc w:val="both"/>
    </w:pPr>
    <w:rPr>
      <w:lang w:val="fr-FR" w:eastAsia="fr-FR"/>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uiPriority w:val="99"/>
    <w:semiHidden/>
    <w:rsid w:val="00E77CB3"/>
    <w:pPr>
      <w:jc w:val="both"/>
    </w:pPr>
    <w:rPr>
      <w:lang w:val="fr-FR" w:eastAsia="fr-FR"/>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1">
    <w:name w:val="Table Classic 1"/>
    <w:basedOn w:val="Tabellanormale"/>
    <w:uiPriority w:val="99"/>
    <w:semiHidden/>
    <w:rsid w:val="00E77CB3"/>
    <w:pPr>
      <w:jc w:val="both"/>
    </w:pPr>
    <w:rPr>
      <w:lang w:val="fr-FR" w:eastAsia="fr-FR"/>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uiPriority w:val="99"/>
    <w:semiHidden/>
    <w:rsid w:val="00E77CB3"/>
    <w:pPr>
      <w:jc w:val="both"/>
    </w:pPr>
    <w:rPr>
      <w:lang w:val="fr-FR" w:eastAsia="fr-FR"/>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uiPriority w:val="99"/>
    <w:semiHidden/>
    <w:rsid w:val="00E77CB3"/>
    <w:pPr>
      <w:jc w:val="both"/>
    </w:pPr>
    <w:rPr>
      <w:color w:val="000080"/>
      <w:lang w:val="fr-FR" w:eastAsia="fr-FR"/>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uiPriority w:val="99"/>
    <w:semiHidden/>
    <w:rsid w:val="00E77CB3"/>
    <w:pPr>
      <w:jc w:val="both"/>
    </w:pPr>
    <w:rPr>
      <w:lang w:val="fr-FR" w:eastAsia="fr-FR"/>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aacolori1">
    <w:name w:val="Table Colorful 1"/>
    <w:basedOn w:val="Tabellanormale"/>
    <w:uiPriority w:val="99"/>
    <w:semiHidden/>
    <w:rsid w:val="00E77CB3"/>
    <w:pPr>
      <w:jc w:val="both"/>
    </w:pPr>
    <w:rPr>
      <w:color w:val="FFFFFF"/>
      <w:lang w:val="fr-FR" w:eastAsia="fr-FR"/>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uiPriority w:val="99"/>
    <w:semiHidden/>
    <w:rsid w:val="00E77CB3"/>
    <w:pPr>
      <w:jc w:val="both"/>
    </w:pPr>
    <w:rPr>
      <w:lang w:val="fr-FR" w:eastAsia="fr-FR"/>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uiPriority w:val="99"/>
    <w:semiHidden/>
    <w:rsid w:val="00E77CB3"/>
    <w:pPr>
      <w:jc w:val="both"/>
    </w:pPr>
    <w:rPr>
      <w:lang w:val="fr-FR" w:eastAsia="fr-FR"/>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acolonne1">
    <w:name w:val="Table Columns 1"/>
    <w:basedOn w:val="Tabellanormale"/>
    <w:uiPriority w:val="99"/>
    <w:semiHidden/>
    <w:rsid w:val="00E77CB3"/>
    <w:pPr>
      <w:jc w:val="both"/>
    </w:pPr>
    <w:rPr>
      <w:b/>
      <w:bCs/>
      <w:lang w:val="fr-FR" w:eastAsia="fr-FR"/>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uiPriority w:val="99"/>
    <w:semiHidden/>
    <w:rsid w:val="00E77CB3"/>
    <w:pPr>
      <w:jc w:val="both"/>
    </w:pPr>
    <w:rPr>
      <w:b/>
      <w:bCs/>
      <w:lang w:val="fr-FR" w:eastAsia="fr-FR"/>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uiPriority w:val="99"/>
    <w:semiHidden/>
    <w:rsid w:val="00E77CB3"/>
    <w:pPr>
      <w:jc w:val="both"/>
    </w:pPr>
    <w:rPr>
      <w:b/>
      <w:bCs/>
      <w:lang w:val="fr-FR" w:eastAsia="fr-FR"/>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uiPriority w:val="99"/>
    <w:semiHidden/>
    <w:rsid w:val="00E77CB3"/>
    <w:pPr>
      <w:jc w:val="both"/>
    </w:pPr>
    <w:rPr>
      <w:lang w:val="fr-FR" w:eastAsia="fr-FR"/>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uiPriority w:val="99"/>
    <w:semiHidden/>
    <w:rsid w:val="00E77CB3"/>
    <w:pPr>
      <w:jc w:val="both"/>
    </w:pPr>
    <w:rPr>
      <w:lang w:val="fr-FR" w:eastAsia="fr-FR"/>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acontemporanea">
    <w:name w:val="Table Contemporary"/>
    <w:basedOn w:val="Tabellanormale"/>
    <w:uiPriority w:val="99"/>
    <w:semiHidden/>
    <w:rsid w:val="00E77CB3"/>
    <w:pPr>
      <w:jc w:val="both"/>
    </w:pPr>
    <w:rPr>
      <w:lang w:val="fr-FR" w:eastAsia="fr-FR"/>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aelegante">
    <w:name w:val="Table Elegant"/>
    <w:basedOn w:val="Tabellanormale"/>
    <w:uiPriority w:val="99"/>
    <w:semiHidden/>
    <w:rsid w:val="00E77CB3"/>
    <w:pPr>
      <w:jc w:val="both"/>
    </w:pPr>
    <w:rPr>
      <w:lang w:val="fr-FR" w:eastAsia="fr-F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gliatabella1">
    <w:name w:val="Table Grid 1"/>
    <w:basedOn w:val="Tabellanormale"/>
    <w:uiPriority w:val="99"/>
    <w:semiHidden/>
    <w:rsid w:val="00E77CB3"/>
    <w:pPr>
      <w:jc w:val="both"/>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gliatabella2">
    <w:name w:val="Table Grid 2"/>
    <w:basedOn w:val="Tabellanormale"/>
    <w:uiPriority w:val="99"/>
    <w:semiHidden/>
    <w:rsid w:val="00E77CB3"/>
    <w:pPr>
      <w:jc w:val="both"/>
    </w:pPr>
    <w:rPr>
      <w:lang w:val="fr-FR" w:eastAsia="fr-FR"/>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3">
    <w:name w:val="Table Grid 3"/>
    <w:basedOn w:val="Tabellanormale"/>
    <w:uiPriority w:val="99"/>
    <w:semiHidden/>
    <w:rsid w:val="00E77CB3"/>
    <w:pPr>
      <w:jc w:val="both"/>
    </w:pPr>
    <w:rPr>
      <w:lang w:val="fr-FR" w:eastAsia="fr-FR"/>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4">
    <w:name w:val="Table Grid 4"/>
    <w:basedOn w:val="Tabellanormale"/>
    <w:uiPriority w:val="99"/>
    <w:semiHidden/>
    <w:rsid w:val="00E77CB3"/>
    <w:pPr>
      <w:jc w:val="both"/>
    </w:pPr>
    <w:rPr>
      <w:lang w:val="fr-FR" w:eastAsia="fr-FR"/>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gliatabella5">
    <w:name w:val="Table Grid 5"/>
    <w:basedOn w:val="Tabellanormale"/>
    <w:uiPriority w:val="99"/>
    <w:semiHidden/>
    <w:rsid w:val="00E77CB3"/>
    <w:pPr>
      <w:jc w:val="both"/>
    </w:pPr>
    <w:rPr>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6">
    <w:name w:val="Table Grid 6"/>
    <w:basedOn w:val="Tabellanormale"/>
    <w:uiPriority w:val="99"/>
    <w:semiHidden/>
    <w:rsid w:val="00E77CB3"/>
    <w:pPr>
      <w:jc w:val="both"/>
    </w:pPr>
    <w:rPr>
      <w:lang w:val="fr-FR" w:eastAsia="fr-FR"/>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7">
    <w:name w:val="Table Grid 7"/>
    <w:basedOn w:val="Tabellanormale"/>
    <w:uiPriority w:val="99"/>
    <w:semiHidden/>
    <w:rsid w:val="00E77CB3"/>
    <w:pPr>
      <w:jc w:val="both"/>
    </w:pPr>
    <w:rPr>
      <w:b/>
      <w:bCs/>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8">
    <w:name w:val="Table Grid 8"/>
    <w:basedOn w:val="Tabellanormale"/>
    <w:uiPriority w:val="99"/>
    <w:semiHidden/>
    <w:rsid w:val="00E77CB3"/>
    <w:pPr>
      <w:jc w:val="both"/>
    </w:pPr>
    <w:rPr>
      <w:lang w:val="fr-FR" w:eastAsia="fr-FR"/>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Elencotabella1">
    <w:name w:val="Table List 1"/>
    <w:basedOn w:val="Tabellanormale"/>
    <w:uiPriority w:val="99"/>
    <w:semiHidden/>
    <w:rsid w:val="00E77CB3"/>
    <w:pPr>
      <w:jc w:val="both"/>
    </w:pPr>
    <w:rPr>
      <w:lang w:val="fr-FR" w:eastAsia="fr-FR"/>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2">
    <w:name w:val="Table List 2"/>
    <w:basedOn w:val="Tabellanormale"/>
    <w:uiPriority w:val="99"/>
    <w:semiHidden/>
    <w:rsid w:val="00E77CB3"/>
    <w:pPr>
      <w:jc w:val="both"/>
    </w:pPr>
    <w:rPr>
      <w:lang w:val="fr-FR" w:eastAsia="fr-FR"/>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3">
    <w:name w:val="Table List 3"/>
    <w:basedOn w:val="Tabellanormale"/>
    <w:uiPriority w:val="99"/>
    <w:semiHidden/>
    <w:rsid w:val="00E77CB3"/>
    <w:pPr>
      <w:jc w:val="both"/>
    </w:pPr>
    <w:rPr>
      <w:lang w:val="fr-FR" w:eastAsia="fr-FR"/>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Elencotabella4">
    <w:name w:val="Table List 4"/>
    <w:basedOn w:val="Tabellanormale"/>
    <w:uiPriority w:val="99"/>
    <w:semiHidden/>
    <w:rsid w:val="00E77CB3"/>
    <w:pPr>
      <w:jc w:val="both"/>
    </w:pPr>
    <w:rPr>
      <w:lang w:val="fr-FR" w:eastAsia="fr-FR"/>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Elencotabella5">
    <w:name w:val="Table List 5"/>
    <w:basedOn w:val="Tabellanormale"/>
    <w:uiPriority w:val="99"/>
    <w:semiHidden/>
    <w:rsid w:val="00E77CB3"/>
    <w:pPr>
      <w:jc w:val="both"/>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Elencotabella6">
    <w:name w:val="Table List 6"/>
    <w:basedOn w:val="Tabellanormale"/>
    <w:uiPriority w:val="99"/>
    <w:semiHidden/>
    <w:rsid w:val="00E77CB3"/>
    <w:pPr>
      <w:jc w:val="both"/>
    </w:pPr>
    <w:rPr>
      <w:lang w:val="fr-FR" w:eastAsia="fr-FR"/>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Elencotabella7">
    <w:name w:val="Table List 7"/>
    <w:basedOn w:val="Tabellanormale"/>
    <w:uiPriority w:val="99"/>
    <w:semiHidden/>
    <w:rsid w:val="00E77CB3"/>
    <w:pPr>
      <w:jc w:val="both"/>
    </w:pPr>
    <w:rPr>
      <w:lang w:val="fr-FR" w:eastAsia="fr-FR"/>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Elencotabella8">
    <w:name w:val="Table List 8"/>
    <w:basedOn w:val="Tabellanormale"/>
    <w:uiPriority w:val="99"/>
    <w:semiHidden/>
    <w:rsid w:val="00E77CB3"/>
    <w:pPr>
      <w:jc w:val="both"/>
    </w:pPr>
    <w:rPr>
      <w:lang w:val="fr-FR" w:eastAsia="fr-FR"/>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Indicefonti">
    <w:name w:val="table of authorities"/>
    <w:basedOn w:val="Normale"/>
    <w:next w:val="Normale"/>
    <w:uiPriority w:val="99"/>
    <w:semiHidden/>
    <w:rsid w:val="00E77CB3"/>
    <w:pPr>
      <w:ind w:left="240" w:hanging="240"/>
    </w:pPr>
  </w:style>
  <w:style w:type="paragraph" w:styleId="Indicedellefigure">
    <w:name w:val="table of figures"/>
    <w:basedOn w:val="Normale"/>
    <w:next w:val="Normale"/>
    <w:uiPriority w:val="99"/>
    <w:semiHidden/>
    <w:rsid w:val="00E77CB3"/>
  </w:style>
  <w:style w:type="table" w:styleId="Tabellaprofessionale">
    <w:name w:val="Table Professional"/>
    <w:basedOn w:val="Tabellanormale"/>
    <w:uiPriority w:val="99"/>
    <w:semiHidden/>
    <w:rsid w:val="00E77CB3"/>
    <w:pPr>
      <w:jc w:val="both"/>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asemplice1">
    <w:name w:val="Table Simple 1"/>
    <w:basedOn w:val="Tabellanormale"/>
    <w:uiPriority w:val="99"/>
    <w:semiHidden/>
    <w:rsid w:val="00E77CB3"/>
    <w:pPr>
      <w:jc w:val="both"/>
    </w:pPr>
    <w:rPr>
      <w:lang w:val="fr-FR" w:eastAsia="fr-FR"/>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uiPriority w:val="99"/>
    <w:semiHidden/>
    <w:rsid w:val="00E77CB3"/>
    <w:pPr>
      <w:jc w:val="both"/>
    </w:pPr>
    <w:rPr>
      <w:lang w:val="fr-FR" w:eastAsia="fr-FR"/>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uiPriority w:val="99"/>
    <w:semiHidden/>
    <w:rsid w:val="00E77CB3"/>
    <w:pPr>
      <w:jc w:val="both"/>
    </w:pPr>
    <w:rPr>
      <w:lang w:val="fr-FR" w:eastAsia="fr-FR"/>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conombreggiatura1">
    <w:name w:val="Table Subtle 1"/>
    <w:basedOn w:val="Tabellanormale"/>
    <w:uiPriority w:val="99"/>
    <w:semiHidden/>
    <w:rsid w:val="00E77CB3"/>
    <w:pPr>
      <w:jc w:val="both"/>
    </w:pPr>
    <w:rPr>
      <w:lang w:val="fr-FR" w:eastAsia="fr-FR"/>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uiPriority w:val="99"/>
    <w:semiHidden/>
    <w:rsid w:val="00E77CB3"/>
    <w:pPr>
      <w:jc w:val="both"/>
    </w:pPr>
    <w:rPr>
      <w:lang w:val="fr-FR" w:eastAsia="fr-FR"/>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tema">
    <w:name w:val="Table Theme"/>
    <w:basedOn w:val="Tabellanormale"/>
    <w:uiPriority w:val="99"/>
    <w:semiHidden/>
    <w:rsid w:val="00E77CB3"/>
    <w:pPr>
      <w:jc w:val="both"/>
    </w:pPr>
    <w:rPr>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Web1">
    <w:name w:val="Table Web 1"/>
    <w:basedOn w:val="Tabellanormale"/>
    <w:uiPriority w:val="99"/>
    <w:semiHidden/>
    <w:rsid w:val="00E77CB3"/>
    <w:pPr>
      <w:jc w:val="both"/>
    </w:pPr>
    <w:rPr>
      <w:lang w:val="fr-FR" w:eastAsia="fr-FR"/>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uiPriority w:val="99"/>
    <w:semiHidden/>
    <w:rsid w:val="00E77CB3"/>
    <w:pPr>
      <w:jc w:val="both"/>
    </w:pPr>
    <w:rPr>
      <w:lang w:val="fr-FR" w:eastAsia="fr-FR"/>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uiPriority w:val="99"/>
    <w:semiHidden/>
    <w:rsid w:val="00E77CB3"/>
    <w:pPr>
      <w:jc w:val="both"/>
    </w:pPr>
    <w:rPr>
      <w:lang w:val="fr-FR" w:eastAsia="fr-FR"/>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ommario6">
    <w:name w:val="toc 6"/>
    <w:basedOn w:val="Normale"/>
    <w:next w:val="Normale"/>
    <w:autoRedefine/>
    <w:uiPriority w:val="99"/>
    <w:semiHidden/>
    <w:rsid w:val="007877AC"/>
    <w:pPr>
      <w:tabs>
        <w:tab w:val="right" w:leader="dot" w:pos="7371"/>
      </w:tabs>
      <w:spacing w:after="60" w:line="240" w:lineRule="exact"/>
      <w:ind w:left="2041" w:right="567" w:hanging="340"/>
    </w:pPr>
    <w:rPr>
      <w:sz w:val="20"/>
    </w:rPr>
  </w:style>
  <w:style w:type="paragraph" w:styleId="Sommario7">
    <w:name w:val="toc 7"/>
    <w:basedOn w:val="Normale"/>
    <w:next w:val="Normale"/>
    <w:autoRedefine/>
    <w:uiPriority w:val="99"/>
    <w:semiHidden/>
    <w:rsid w:val="007877AC"/>
    <w:pPr>
      <w:tabs>
        <w:tab w:val="right" w:leader="dot" w:pos="7371"/>
      </w:tabs>
      <w:spacing w:after="60" w:line="240" w:lineRule="exact"/>
      <w:ind w:left="2381" w:right="567" w:hanging="340"/>
    </w:pPr>
    <w:rPr>
      <w:sz w:val="20"/>
    </w:rPr>
  </w:style>
  <w:style w:type="paragraph" w:styleId="Sommario8">
    <w:name w:val="toc 8"/>
    <w:basedOn w:val="Normale"/>
    <w:next w:val="Normale"/>
    <w:autoRedefine/>
    <w:uiPriority w:val="99"/>
    <w:semiHidden/>
    <w:rsid w:val="00E77CB3"/>
    <w:pPr>
      <w:spacing w:after="100"/>
      <w:ind w:left="1680"/>
    </w:pPr>
  </w:style>
  <w:style w:type="paragraph" w:styleId="Sommario9">
    <w:name w:val="toc 9"/>
    <w:basedOn w:val="Normale"/>
    <w:next w:val="Normale"/>
    <w:autoRedefine/>
    <w:uiPriority w:val="99"/>
    <w:semiHidden/>
    <w:rsid w:val="00E77CB3"/>
    <w:pPr>
      <w:spacing w:after="100"/>
      <w:ind w:left="1920"/>
    </w:pPr>
  </w:style>
  <w:style w:type="paragraph" w:customStyle="1" w:styleId="OpiHA0">
    <w:name w:val="Opi_H_A"/>
    <w:basedOn w:val="ECHRHeading1"/>
    <w:next w:val="OpiPara"/>
    <w:uiPriority w:val="41"/>
    <w:qFormat/>
    <w:rsid w:val="007877AC"/>
    <w:pPr>
      <w:tabs>
        <w:tab w:val="clear" w:pos="357"/>
      </w:tabs>
      <w:outlineLvl w:val="1"/>
    </w:pPr>
    <w:rPr>
      <w:b/>
    </w:rPr>
  </w:style>
  <w:style w:type="paragraph" w:customStyle="1" w:styleId="OpiHi">
    <w:name w:val="Opi_H_i"/>
    <w:basedOn w:val="ECHRHeading4"/>
    <w:uiPriority w:val="44"/>
    <w:qFormat/>
    <w:rsid w:val="007877AC"/>
    <w:pPr>
      <w:ind w:left="1037" w:hanging="357"/>
      <w:outlineLvl w:val="4"/>
    </w:pPr>
    <w:rPr>
      <w:b w:val="0"/>
      <w:i/>
    </w:rPr>
  </w:style>
  <w:style w:type="paragraph" w:customStyle="1" w:styleId="OpiPara">
    <w:name w:val="Opi_Para"/>
    <w:basedOn w:val="ECHRPara"/>
    <w:uiPriority w:val="46"/>
    <w:qFormat/>
    <w:rsid w:val="007877AC"/>
  </w:style>
  <w:style w:type="paragraph" w:customStyle="1" w:styleId="OpiParaSub">
    <w:name w:val="Opi_Para_Sub"/>
    <w:basedOn w:val="JuParaSub"/>
    <w:uiPriority w:val="47"/>
    <w:qFormat/>
    <w:rsid w:val="007877AC"/>
  </w:style>
  <w:style w:type="paragraph" w:customStyle="1" w:styleId="OpiQuot">
    <w:name w:val="Opi_Quot"/>
    <w:basedOn w:val="ECHRParaQuote"/>
    <w:uiPriority w:val="48"/>
    <w:qFormat/>
    <w:rsid w:val="007877AC"/>
  </w:style>
  <w:style w:type="paragraph" w:customStyle="1" w:styleId="OpiQuotSub">
    <w:name w:val="Opi_Quot_Sub"/>
    <w:basedOn w:val="JuQuotSub"/>
    <w:uiPriority w:val="49"/>
    <w:qFormat/>
    <w:rsid w:val="007877AC"/>
  </w:style>
  <w:style w:type="paragraph" w:customStyle="1" w:styleId="OpiTranslation">
    <w:name w:val="Opi_Translation"/>
    <w:basedOn w:val="Normale"/>
    <w:next w:val="OpiPara"/>
    <w:uiPriority w:val="40"/>
    <w:qFormat/>
    <w:rsid w:val="007877AC"/>
    <w:pPr>
      <w:jc w:val="center"/>
      <w:outlineLvl w:val="0"/>
    </w:pPr>
    <w:rPr>
      <w:i/>
    </w:rPr>
  </w:style>
  <w:style w:type="character" w:customStyle="1" w:styleId="JuParaCar">
    <w:name w:val="Ju_Para Car"/>
    <w:link w:val="ECHRPara"/>
    <w:uiPriority w:val="12"/>
    <w:rsid w:val="00622197"/>
    <w:rPr>
      <w:rFonts w:eastAsiaTheme="minorEastAs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00843">
      <w:bodyDiv w:val="1"/>
      <w:marLeft w:val="0"/>
      <w:marRight w:val="0"/>
      <w:marTop w:val="0"/>
      <w:marBottom w:val="0"/>
      <w:divBdr>
        <w:top w:val="none" w:sz="0" w:space="0" w:color="auto"/>
        <w:left w:val="none" w:sz="0" w:space="0" w:color="auto"/>
        <w:bottom w:val="none" w:sz="0" w:space="0" w:color="auto"/>
        <w:right w:val="none" w:sz="0" w:space="0" w:color="auto"/>
      </w:divBdr>
    </w:div>
    <w:div w:id="28066495">
      <w:bodyDiv w:val="1"/>
      <w:marLeft w:val="0"/>
      <w:marRight w:val="0"/>
      <w:marTop w:val="0"/>
      <w:marBottom w:val="0"/>
      <w:divBdr>
        <w:top w:val="none" w:sz="0" w:space="0" w:color="auto"/>
        <w:left w:val="none" w:sz="0" w:space="0" w:color="auto"/>
        <w:bottom w:val="none" w:sz="0" w:space="0" w:color="auto"/>
        <w:right w:val="none" w:sz="0" w:space="0" w:color="auto"/>
      </w:divBdr>
      <w:divsChild>
        <w:div w:id="850413556">
          <w:marLeft w:val="0"/>
          <w:marRight w:val="0"/>
          <w:marTop w:val="0"/>
          <w:marBottom w:val="0"/>
          <w:divBdr>
            <w:top w:val="none" w:sz="0" w:space="0" w:color="auto"/>
            <w:left w:val="none" w:sz="0" w:space="0" w:color="auto"/>
            <w:bottom w:val="none" w:sz="0" w:space="0" w:color="auto"/>
            <w:right w:val="none" w:sz="0" w:space="0" w:color="auto"/>
          </w:divBdr>
          <w:divsChild>
            <w:div w:id="1659768484">
              <w:marLeft w:val="0"/>
              <w:marRight w:val="0"/>
              <w:marTop w:val="0"/>
              <w:marBottom w:val="0"/>
              <w:divBdr>
                <w:top w:val="none" w:sz="0" w:space="0" w:color="auto"/>
                <w:left w:val="none" w:sz="0" w:space="0" w:color="auto"/>
                <w:bottom w:val="none" w:sz="0" w:space="0" w:color="auto"/>
                <w:right w:val="none" w:sz="0" w:space="0" w:color="auto"/>
              </w:divBdr>
              <w:divsChild>
                <w:div w:id="1648704302">
                  <w:marLeft w:val="0"/>
                  <w:marRight w:val="0"/>
                  <w:marTop w:val="0"/>
                  <w:marBottom w:val="0"/>
                  <w:divBdr>
                    <w:top w:val="none" w:sz="0" w:space="0" w:color="auto"/>
                    <w:left w:val="none" w:sz="0" w:space="0" w:color="auto"/>
                    <w:bottom w:val="none" w:sz="0" w:space="0" w:color="auto"/>
                    <w:right w:val="none" w:sz="0" w:space="0" w:color="auto"/>
                  </w:divBdr>
                  <w:divsChild>
                    <w:div w:id="791436247">
                      <w:marLeft w:val="0"/>
                      <w:marRight w:val="0"/>
                      <w:marTop w:val="0"/>
                      <w:marBottom w:val="0"/>
                      <w:divBdr>
                        <w:top w:val="none" w:sz="0" w:space="0" w:color="auto"/>
                        <w:left w:val="none" w:sz="0" w:space="0" w:color="auto"/>
                        <w:bottom w:val="none" w:sz="0" w:space="0" w:color="auto"/>
                        <w:right w:val="none" w:sz="0" w:space="0" w:color="auto"/>
                      </w:divBdr>
                      <w:divsChild>
                        <w:div w:id="1794909511">
                          <w:marLeft w:val="0"/>
                          <w:marRight w:val="0"/>
                          <w:marTop w:val="0"/>
                          <w:marBottom w:val="0"/>
                          <w:divBdr>
                            <w:top w:val="none" w:sz="0" w:space="0" w:color="auto"/>
                            <w:left w:val="none" w:sz="0" w:space="0" w:color="auto"/>
                            <w:bottom w:val="none" w:sz="0" w:space="0" w:color="auto"/>
                            <w:right w:val="none" w:sz="0" w:space="0" w:color="auto"/>
                          </w:divBdr>
                          <w:divsChild>
                            <w:div w:id="27328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7057396">
      <w:bodyDiv w:val="1"/>
      <w:marLeft w:val="0"/>
      <w:marRight w:val="0"/>
      <w:marTop w:val="0"/>
      <w:marBottom w:val="0"/>
      <w:divBdr>
        <w:top w:val="none" w:sz="0" w:space="0" w:color="auto"/>
        <w:left w:val="none" w:sz="0" w:space="0" w:color="auto"/>
        <w:bottom w:val="none" w:sz="0" w:space="0" w:color="auto"/>
        <w:right w:val="none" w:sz="0" w:space="0" w:color="auto"/>
      </w:divBdr>
      <w:divsChild>
        <w:div w:id="791364286">
          <w:marLeft w:val="0"/>
          <w:marRight w:val="0"/>
          <w:marTop w:val="0"/>
          <w:marBottom w:val="0"/>
          <w:divBdr>
            <w:top w:val="none" w:sz="0" w:space="0" w:color="auto"/>
            <w:left w:val="none" w:sz="0" w:space="0" w:color="auto"/>
            <w:bottom w:val="none" w:sz="0" w:space="0" w:color="auto"/>
            <w:right w:val="none" w:sz="0" w:space="0" w:color="auto"/>
          </w:divBdr>
          <w:divsChild>
            <w:div w:id="1015112479">
              <w:marLeft w:val="0"/>
              <w:marRight w:val="0"/>
              <w:marTop w:val="0"/>
              <w:marBottom w:val="0"/>
              <w:divBdr>
                <w:top w:val="none" w:sz="0" w:space="0" w:color="auto"/>
                <w:left w:val="none" w:sz="0" w:space="0" w:color="auto"/>
                <w:bottom w:val="none" w:sz="0" w:space="0" w:color="auto"/>
                <w:right w:val="none" w:sz="0" w:space="0" w:color="auto"/>
              </w:divBdr>
              <w:divsChild>
                <w:div w:id="1363048081">
                  <w:marLeft w:val="0"/>
                  <w:marRight w:val="0"/>
                  <w:marTop w:val="0"/>
                  <w:marBottom w:val="0"/>
                  <w:divBdr>
                    <w:top w:val="none" w:sz="0" w:space="0" w:color="auto"/>
                    <w:left w:val="none" w:sz="0" w:space="0" w:color="auto"/>
                    <w:bottom w:val="none" w:sz="0" w:space="0" w:color="auto"/>
                    <w:right w:val="none" w:sz="0" w:space="0" w:color="auto"/>
                  </w:divBdr>
                  <w:divsChild>
                    <w:div w:id="1955747541">
                      <w:marLeft w:val="0"/>
                      <w:marRight w:val="0"/>
                      <w:marTop w:val="0"/>
                      <w:marBottom w:val="0"/>
                      <w:divBdr>
                        <w:top w:val="none" w:sz="0" w:space="0" w:color="auto"/>
                        <w:left w:val="none" w:sz="0" w:space="0" w:color="auto"/>
                        <w:bottom w:val="none" w:sz="0" w:space="0" w:color="auto"/>
                        <w:right w:val="none" w:sz="0" w:space="0" w:color="auto"/>
                      </w:divBdr>
                      <w:divsChild>
                        <w:div w:id="367219364">
                          <w:marLeft w:val="0"/>
                          <w:marRight w:val="0"/>
                          <w:marTop w:val="0"/>
                          <w:marBottom w:val="0"/>
                          <w:divBdr>
                            <w:top w:val="none" w:sz="0" w:space="0" w:color="auto"/>
                            <w:left w:val="none" w:sz="0" w:space="0" w:color="auto"/>
                            <w:bottom w:val="none" w:sz="0" w:space="0" w:color="auto"/>
                            <w:right w:val="none" w:sz="0" w:space="0" w:color="auto"/>
                          </w:divBdr>
                          <w:divsChild>
                            <w:div w:id="123774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4921711">
      <w:bodyDiv w:val="1"/>
      <w:marLeft w:val="0"/>
      <w:marRight w:val="0"/>
      <w:marTop w:val="0"/>
      <w:marBottom w:val="0"/>
      <w:divBdr>
        <w:top w:val="none" w:sz="0" w:space="0" w:color="auto"/>
        <w:left w:val="none" w:sz="0" w:space="0" w:color="auto"/>
        <w:bottom w:val="none" w:sz="0" w:space="0" w:color="auto"/>
        <w:right w:val="none" w:sz="0" w:space="0" w:color="auto"/>
      </w:divBdr>
      <w:divsChild>
        <w:div w:id="1527676027">
          <w:marLeft w:val="0"/>
          <w:marRight w:val="0"/>
          <w:marTop w:val="0"/>
          <w:marBottom w:val="0"/>
          <w:divBdr>
            <w:top w:val="none" w:sz="0" w:space="0" w:color="auto"/>
            <w:left w:val="none" w:sz="0" w:space="0" w:color="auto"/>
            <w:bottom w:val="none" w:sz="0" w:space="0" w:color="auto"/>
            <w:right w:val="none" w:sz="0" w:space="0" w:color="auto"/>
          </w:divBdr>
          <w:divsChild>
            <w:div w:id="190804475">
              <w:marLeft w:val="0"/>
              <w:marRight w:val="0"/>
              <w:marTop w:val="0"/>
              <w:marBottom w:val="0"/>
              <w:divBdr>
                <w:top w:val="none" w:sz="0" w:space="0" w:color="auto"/>
                <w:left w:val="none" w:sz="0" w:space="0" w:color="auto"/>
                <w:bottom w:val="none" w:sz="0" w:space="0" w:color="auto"/>
                <w:right w:val="none" w:sz="0" w:space="0" w:color="auto"/>
              </w:divBdr>
              <w:divsChild>
                <w:div w:id="1478187862">
                  <w:marLeft w:val="0"/>
                  <w:marRight w:val="0"/>
                  <w:marTop w:val="0"/>
                  <w:marBottom w:val="0"/>
                  <w:divBdr>
                    <w:top w:val="none" w:sz="0" w:space="0" w:color="auto"/>
                    <w:left w:val="none" w:sz="0" w:space="0" w:color="auto"/>
                    <w:bottom w:val="none" w:sz="0" w:space="0" w:color="auto"/>
                    <w:right w:val="none" w:sz="0" w:space="0" w:color="auto"/>
                  </w:divBdr>
                  <w:divsChild>
                    <w:div w:id="1883981704">
                      <w:marLeft w:val="0"/>
                      <w:marRight w:val="0"/>
                      <w:marTop w:val="0"/>
                      <w:marBottom w:val="0"/>
                      <w:divBdr>
                        <w:top w:val="none" w:sz="0" w:space="0" w:color="auto"/>
                        <w:left w:val="none" w:sz="0" w:space="0" w:color="auto"/>
                        <w:bottom w:val="none" w:sz="0" w:space="0" w:color="auto"/>
                        <w:right w:val="none" w:sz="0" w:space="0" w:color="auto"/>
                      </w:divBdr>
                      <w:divsChild>
                        <w:div w:id="23020104">
                          <w:marLeft w:val="0"/>
                          <w:marRight w:val="0"/>
                          <w:marTop w:val="0"/>
                          <w:marBottom w:val="0"/>
                          <w:divBdr>
                            <w:top w:val="none" w:sz="0" w:space="0" w:color="auto"/>
                            <w:left w:val="none" w:sz="0" w:space="0" w:color="auto"/>
                            <w:bottom w:val="none" w:sz="0" w:space="0" w:color="auto"/>
                            <w:right w:val="none" w:sz="0" w:space="0" w:color="auto"/>
                          </w:divBdr>
                          <w:divsChild>
                            <w:div w:id="6280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9126574">
      <w:bodyDiv w:val="1"/>
      <w:marLeft w:val="0"/>
      <w:marRight w:val="0"/>
      <w:marTop w:val="0"/>
      <w:marBottom w:val="0"/>
      <w:divBdr>
        <w:top w:val="none" w:sz="0" w:space="0" w:color="auto"/>
        <w:left w:val="none" w:sz="0" w:space="0" w:color="auto"/>
        <w:bottom w:val="none" w:sz="0" w:space="0" w:color="auto"/>
        <w:right w:val="none" w:sz="0" w:space="0" w:color="auto"/>
      </w:divBdr>
      <w:divsChild>
        <w:div w:id="549726225">
          <w:marLeft w:val="0"/>
          <w:marRight w:val="0"/>
          <w:marTop w:val="0"/>
          <w:marBottom w:val="0"/>
          <w:divBdr>
            <w:top w:val="none" w:sz="0" w:space="0" w:color="auto"/>
            <w:left w:val="none" w:sz="0" w:space="0" w:color="auto"/>
            <w:bottom w:val="none" w:sz="0" w:space="0" w:color="auto"/>
            <w:right w:val="none" w:sz="0" w:space="0" w:color="auto"/>
          </w:divBdr>
          <w:divsChild>
            <w:div w:id="1802456884">
              <w:marLeft w:val="0"/>
              <w:marRight w:val="0"/>
              <w:marTop w:val="0"/>
              <w:marBottom w:val="0"/>
              <w:divBdr>
                <w:top w:val="none" w:sz="0" w:space="0" w:color="auto"/>
                <w:left w:val="none" w:sz="0" w:space="0" w:color="auto"/>
                <w:bottom w:val="none" w:sz="0" w:space="0" w:color="auto"/>
                <w:right w:val="none" w:sz="0" w:space="0" w:color="auto"/>
              </w:divBdr>
              <w:divsChild>
                <w:div w:id="1676958796">
                  <w:marLeft w:val="0"/>
                  <w:marRight w:val="0"/>
                  <w:marTop w:val="0"/>
                  <w:marBottom w:val="0"/>
                  <w:divBdr>
                    <w:top w:val="none" w:sz="0" w:space="0" w:color="auto"/>
                    <w:left w:val="none" w:sz="0" w:space="0" w:color="auto"/>
                    <w:bottom w:val="none" w:sz="0" w:space="0" w:color="auto"/>
                    <w:right w:val="none" w:sz="0" w:space="0" w:color="auto"/>
                  </w:divBdr>
                  <w:divsChild>
                    <w:div w:id="908660463">
                      <w:marLeft w:val="0"/>
                      <w:marRight w:val="0"/>
                      <w:marTop w:val="0"/>
                      <w:marBottom w:val="0"/>
                      <w:divBdr>
                        <w:top w:val="none" w:sz="0" w:space="0" w:color="auto"/>
                        <w:left w:val="none" w:sz="0" w:space="0" w:color="auto"/>
                        <w:bottom w:val="none" w:sz="0" w:space="0" w:color="auto"/>
                        <w:right w:val="none" w:sz="0" w:space="0" w:color="auto"/>
                      </w:divBdr>
                      <w:divsChild>
                        <w:div w:id="908199200">
                          <w:marLeft w:val="0"/>
                          <w:marRight w:val="0"/>
                          <w:marTop w:val="0"/>
                          <w:marBottom w:val="0"/>
                          <w:divBdr>
                            <w:top w:val="none" w:sz="0" w:space="0" w:color="auto"/>
                            <w:left w:val="none" w:sz="0" w:space="0" w:color="auto"/>
                            <w:bottom w:val="none" w:sz="0" w:space="0" w:color="auto"/>
                            <w:right w:val="none" w:sz="0" w:space="0" w:color="auto"/>
                          </w:divBdr>
                          <w:divsChild>
                            <w:div w:id="62720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3366396">
      <w:bodyDiv w:val="1"/>
      <w:marLeft w:val="0"/>
      <w:marRight w:val="0"/>
      <w:marTop w:val="0"/>
      <w:marBottom w:val="0"/>
      <w:divBdr>
        <w:top w:val="none" w:sz="0" w:space="0" w:color="auto"/>
        <w:left w:val="none" w:sz="0" w:space="0" w:color="auto"/>
        <w:bottom w:val="none" w:sz="0" w:space="0" w:color="auto"/>
        <w:right w:val="none" w:sz="0" w:space="0" w:color="auto"/>
      </w:divBdr>
    </w:div>
    <w:div w:id="1645431580">
      <w:bodyDiv w:val="1"/>
      <w:marLeft w:val="0"/>
      <w:marRight w:val="0"/>
      <w:marTop w:val="0"/>
      <w:marBottom w:val="0"/>
      <w:divBdr>
        <w:top w:val="none" w:sz="0" w:space="0" w:color="auto"/>
        <w:left w:val="none" w:sz="0" w:space="0" w:color="auto"/>
        <w:bottom w:val="none" w:sz="0" w:space="0" w:color="auto"/>
        <w:right w:val="none" w:sz="0" w:space="0" w:color="auto"/>
      </w:divBdr>
    </w:div>
    <w:div w:id="2037583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4.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A58626-8FDF-48C4-B096-97E0FCADD6D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6E61291-3E08-4406-849B-6A3ECEC1EA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6DB1F15-3FDF-4773-AB65-ACA35B6441BD}">
  <ds:schemaRefs>
    <ds:schemaRef ds:uri="http://schemas.microsoft.com/sharepoint/v3/contenttype/forms"/>
  </ds:schemaRefs>
</ds:datastoreItem>
</file>

<file path=customXml/itemProps4.xml><?xml version="1.0" encoding="utf-8"?>
<ds:datastoreItem xmlns:ds="http://schemas.openxmlformats.org/officeDocument/2006/customXml" ds:itemID="{C0B3ACD3-80B8-413B-B7BC-BD3B25194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3792</Words>
  <Characters>21615</Characters>
  <Application>Microsoft Office Word</Application>
  <DocSecurity>0</DocSecurity>
  <Lines>180</Lines>
  <Paragraphs>50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ECHR</vt:lpstr>
      <vt:lpstr>ECHR</vt:lpstr>
    </vt:vector>
  </TitlesOfParts>
  <Manager/>
  <Company/>
  <LinksUpToDate>false</LinksUpToDate>
  <CharactersWithSpaces>25357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JUD</dc:subject>
  <dc:creator/>
  <cp:lastModifiedBy/>
  <cp:revision>1</cp:revision>
  <dcterms:created xsi:type="dcterms:W3CDTF">2017-02-17T08:42:00Z</dcterms:created>
  <dcterms:modified xsi:type="dcterms:W3CDTF">2017-02-17T08:42:00Z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0x010100558EB02BDB9E204AB350EDD385B68E10</vt:lpwstr>
  </property>
</Properties>
</file>